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6"/>
          <w:szCs w:val="56"/>
        </w:rPr>
      </w:pPr>
      <w:r>
        <w:rPr>
          <w:rFonts w:hint="eastAsia" w:ascii="宋体" w:hAnsi="宋体"/>
          <w:b/>
          <w:sz w:val="56"/>
          <w:szCs w:val="56"/>
        </w:rPr>
        <w:t>网上竞价文件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int="eastAsia" w:hAnsi="宋体"/>
          <w:b/>
          <w:sz w:val="36"/>
        </w:rPr>
      </w:pPr>
    </w:p>
    <w:p>
      <w:pPr>
        <w:pStyle w:val="9"/>
        <w:spacing w:line="400" w:lineRule="exact"/>
        <w:rPr>
          <w:rFonts w:hint="eastAsia" w:hAnsi="宋体"/>
          <w:b/>
          <w:sz w:val="36"/>
        </w:rPr>
      </w:pPr>
    </w:p>
    <w:p>
      <w:pPr>
        <w:pStyle w:val="9"/>
        <w:spacing w:line="400" w:lineRule="exact"/>
        <w:rPr>
          <w:rFonts w:hint="eastAsia" w:hAnsi="宋体"/>
          <w:b/>
          <w:sz w:val="36"/>
        </w:rPr>
      </w:pPr>
    </w:p>
    <w:p>
      <w:pPr>
        <w:pStyle w:val="9"/>
        <w:spacing w:line="400" w:lineRule="exact"/>
        <w:rPr>
          <w:rFonts w:hAnsi="宋体"/>
          <w:b/>
          <w:sz w:val="36"/>
        </w:rPr>
      </w:pPr>
    </w:p>
    <w:p>
      <w:pPr>
        <w:pStyle w:val="9"/>
        <w:spacing w:line="400" w:lineRule="exact"/>
        <w:rPr>
          <w:rFonts w:hAnsi="宋体"/>
          <w:b/>
          <w:sz w:val="36"/>
        </w:rPr>
      </w:pPr>
    </w:p>
    <w:p>
      <w:pPr>
        <w:pStyle w:val="9"/>
        <w:spacing w:line="640" w:lineRule="exact"/>
        <w:ind w:firstLine="1285" w:firstLineChars="400"/>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JJZB-2023-22</w:t>
      </w:r>
    </w:p>
    <w:p>
      <w:pPr>
        <w:pStyle w:val="9"/>
        <w:spacing w:line="640" w:lineRule="exact"/>
        <w:ind w:left="2883" w:leftChars="608" w:hanging="1606" w:hangingChars="500"/>
        <w:rPr>
          <w:rFonts w:hint="eastAsia" w:hAnsi="宋体" w:eastAsia="宋体"/>
          <w:b/>
          <w:sz w:val="32"/>
          <w:szCs w:val="32"/>
          <w:lang w:eastAsia="zh-CN"/>
        </w:rPr>
      </w:pPr>
      <w:r>
        <w:rPr>
          <w:rFonts w:hint="eastAsia" w:hAnsi="宋体"/>
          <w:b/>
          <w:sz w:val="32"/>
          <w:szCs w:val="32"/>
        </w:rPr>
        <w:t>项目名称：</w:t>
      </w:r>
      <w:r>
        <w:rPr>
          <w:rFonts w:hint="eastAsia" w:hAnsi="宋体"/>
          <w:b/>
          <w:sz w:val="32"/>
          <w:szCs w:val="32"/>
          <w:lang w:eastAsia="zh-CN"/>
        </w:rPr>
        <w:t>福建省福清监狱2023-2024年度日常更换用摄像头和门禁等配件采购项目</w:t>
      </w:r>
    </w:p>
    <w:p>
      <w:pPr>
        <w:pStyle w:val="9"/>
        <w:spacing w:line="640" w:lineRule="exact"/>
        <w:ind w:firstLine="1285" w:firstLineChars="400"/>
        <w:rPr>
          <w:rFonts w:hint="eastAsia" w:hAnsi="宋体" w:eastAsia="宋体"/>
          <w:b/>
          <w:sz w:val="32"/>
          <w:szCs w:val="32"/>
          <w:lang w:eastAsia="zh-CN"/>
        </w:rPr>
      </w:pPr>
      <w:r>
        <w:rPr>
          <w:rFonts w:hint="eastAsia" w:hAnsi="宋体"/>
          <w:b/>
          <w:sz w:val="32"/>
          <w:szCs w:val="32"/>
        </w:rPr>
        <w:t>采购人：</w:t>
      </w:r>
      <w:r>
        <w:rPr>
          <w:rFonts w:hint="eastAsia" w:hAnsi="宋体"/>
          <w:b/>
          <w:sz w:val="32"/>
          <w:szCs w:val="32"/>
          <w:lang w:eastAsia="zh-CN"/>
        </w:rPr>
        <w:t>福建省福清监狱</w:t>
      </w:r>
    </w:p>
    <w:p>
      <w:pPr>
        <w:spacing w:line="500" w:lineRule="exact"/>
        <w:rPr>
          <w:rFonts w:ascii="宋体" w:hAnsi="宋体"/>
          <w:b/>
          <w:sz w:val="48"/>
        </w:rPr>
      </w:pPr>
    </w:p>
    <w:p>
      <w:pPr>
        <w:spacing w:line="500" w:lineRule="exact"/>
        <w:jc w:val="right"/>
        <w:rPr>
          <w:rFonts w:hint="eastAsia" w:ascii="宋体" w:hAnsi="宋体"/>
          <w:b/>
          <w:sz w:val="48"/>
          <w:highlight w:val="yellow"/>
        </w:rPr>
      </w:pPr>
    </w:p>
    <w:p>
      <w:pPr>
        <w:pStyle w:val="27"/>
        <w:rPr>
          <w:rFonts w:hint="eastAsia"/>
          <w:highlight w:val="yellow"/>
        </w:rPr>
      </w:pPr>
    </w:p>
    <w:p>
      <w:pPr>
        <w:pStyle w:val="27"/>
        <w:rPr>
          <w:rFonts w:hint="eastAsia"/>
          <w:highlight w:val="yellow"/>
        </w:rPr>
      </w:pPr>
    </w:p>
    <w:p>
      <w:pPr>
        <w:pStyle w:val="27"/>
        <w:rPr>
          <w:rFonts w:hint="eastAsia"/>
          <w:highlight w:val="yellow"/>
        </w:rPr>
      </w:pPr>
    </w:p>
    <w:p>
      <w:pPr>
        <w:pStyle w:val="27"/>
        <w:rPr>
          <w:highlight w:val="yellow"/>
        </w:rPr>
      </w:pPr>
    </w:p>
    <w:p>
      <w:pPr>
        <w:spacing w:line="500" w:lineRule="exact"/>
        <w:jc w:val="center"/>
        <w:rPr>
          <w:rFonts w:ascii="宋体" w:hAnsi="宋体"/>
          <w:b/>
          <w:sz w:val="32"/>
          <w:szCs w:val="32"/>
        </w:rPr>
      </w:pPr>
      <w:r>
        <w:rPr>
          <w:rFonts w:hint="eastAsia" w:ascii="宋体" w:hAnsi="宋体"/>
          <w:b/>
          <w:sz w:val="32"/>
          <w:szCs w:val="32"/>
        </w:rPr>
        <w:t>福建省智信招标有限公司</w:t>
      </w:r>
    </w:p>
    <w:p>
      <w:pPr>
        <w:spacing w:line="500" w:lineRule="exact"/>
        <w:jc w:val="center"/>
        <w:rPr>
          <w:rFonts w:ascii="宋体" w:hAnsi="宋体"/>
          <w:b/>
          <w:sz w:val="32"/>
          <w:szCs w:val="32"/>
        </w:rPr>
      </w:pPr>
      <w:r>
        <w:rPr>
          <w:rFonts w:hint="eastAsia" w:ascii="宋体" w:hAnsi="宋体"/>
          <w:b/>
          <w:sz w:val="32"/>
          <w:szCs w:val="32"/>
        </w:rPr>
        <w:t>二〇二三年</w:t>
      </w:r>
      <w:r>
        <w:rPr>
          <w:rFonts w:hint="eastAsia" w:ascii="宋体" w:hAnsi="宋体"/>
          <w:b/>
          <w:sz w:val="32"/>
          <w:szCs w:val="32"/>
          <w:lang w:val="en-US" w:eastAsia="zh-CN"/>
        </w:rPr>
        <w:t>七</w:t>
      </w:r>
      <w:r>
        <w:rPr>
          <w:rFonts w:hint="eastAsia" w:ascii="宋体" w:hAnsi="宋体"/>
          <w:b/>
          <w:sz w:val="32"/>
          <w:szCs w:val="32"/>
        </w:rPr>
        <w:t>月</w:t>
      </w:r>
    </w:p>
    <w:p>
      <w:pPr>
        <w:spacing w:line="500" w:lineRule="exact"/>
        <w:rPr>
          <w:rFonts w:ascii="宋体" w:hAnsi="宋体"/>
          <w:b/>
          <w:sz w:val="48"/>
          <w:u w:val="single"/>
        </w:rPr>
      </w:pPr>
    </w:p>
    <w:p>
      <w:pPr>
        <w:pStyle w:val="27"/>
      </w:pPr>
    </w:p>
    <w:p>
      <w:pPr>
        <w:pStyle w:val="19"/>
        <w:rPr>
          <w:rFonts w:ascii="宋体" w:hAnsi="宋体"/>
        </w:rPr>
      </w:pPr>
    </w:p>
    <w:p>
      <w:pPr>
        <w:jc w:val="left"/>
        <w:rPr>
          <w:rFonts w:ascii="宋体" w:hAnsi="宋体"/>
        </w:rPr>
      </w:pPr>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rPr>
        <w:t>福建省智信招标有限公司现邀请合格的供应商对以下采购项目进行网上竞价。</w:t>
      </w:r>
    </w:p>
    <w:p>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1、项目编号：</w:t>
      </w:r>
      <w:r>
        <w:rPr>
          <w:rFonts w:hint="eastAsia" w:ascii="宋体" w:hAnsi="宋体"/>
          <w:sz w:val="24"/>
          <w:szCs w:val="24"/>
          <w:lang w:eastAsia="zh-CN"/>
        </w:rPr>
        <w:t>JJZB-2023-22</w:t>
      </w:r>
    </w:p>
    <w:p>
      <w:pPr>
        <w:spacing w:line="440" w:lineRule="exact"/>
        <w:ind w:left="2159" w:leftChars="228" w:hanging="1680" w:hangingChars="700"/>
        <w:rPr>
          <w:rFonts w:hint="eastAsia" w:ascii="宋体" w:hAnsi="宋体" w:eastAsia="宋体"/>
          <w:sz w:val="24"/>
          <w:szCs w:val="24"/>
          <w:lang w:eastAsia="zh-CN"/>
        </w:rPr>
      </w:pPr>
      <w:r>
        <w:rPr>
          <w:rFonts w:hint="eastAsia" w:ascii="宋体" w:hAnsi="宋体"/>
          <w:sz w:val="24"/>
          <w:szCs w:val="24"/>
        </w:rPr>
        <w:t>2、项目名称：</w:t>
      </w:r>
      <w:r>
        <w:rPr>
          <w:rFonts w:hint="eastAsia" w:ascii="宋体" w:hAnsi="宋体"/>
          <w:sz w:val="24"/>
          <w:szCs w:val="24"/>
          <w:lang w:eastAsia="zh-CN"/>
        </w:rPr>
        <w:t>福建省福清监狱2023-2024年度日常更换用摄像头和门禁等配件采购项目</w:t>
      </w:r>
    </w:p>
    <w:p>
      <w:pPr>
        <w:spacing w:line="440" w:lineRule="exact"/>
        <w:ind w:firstLine="480"/>
        <w:rPr>
          <w:rFonts w:hint="eastAsia" w:ascii="宋体" w:hAnsi="宋体" w:eastAsia="宋体"/>
          <w:sz w:val="24"/>
          <w:szCs w:val="24"/>
          <w:lang w:eastAsia="zh-CN"/>
        </w:rPr>
      </w:pPr>
      <w:r>
        <w:rPr>
          <w:rFonts w:hint="eastAsia" w:ascii="宋体" w:hAnsi="宋体"/>
          <w:sz w:val="24"/>
          <w:szCs w:val="24"/>
        </w:rPr>
        <w:t xml:space="preserve">3、竞价采购标的名称、数量及技术参数要求等详见“竞价采购说明一览表”。 </w:t>
      </w:r>
    </w:p>
    <w:p>
      <w:pPr>
        <w:spacing w:line="440" w:lineRule="exact"/>
        <w:ind w:firstLine="480"/>
        <w:rPr>
          <w:rFonts w:ascii="宋体" w:hAnsi="宋体"/>
          <w:sz w:val="24"/>
          <w:szCs w:val="24"/>
        </w:rPr>
      </w:pPr>
      <w:r>
        <w:rPr>
          <w:rFonts w:hint="eastAsia" w:ascii="宋体" w:hAnsi="宋体"/>
          <w:sz w:val="24"/>
          <w:szCs w:val="24"/>
        </w:rPr>
        <w:t>4、合同包总数：1</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19</w:t>
      </w:r>
      <w:r>
        <w:rPr>
          <w:rFonts w:hint="eastAsia" w:ascii="宋体" w:hAnsi="宋体"/>
          <w:color w:val="auto"/>
          <w:sz w:val="24"/>
          <w:szCs w:val="24"/>
          <w:highlight w:val="none"/>
          <w:u w:val="single"/>
        </w:rPr>
        <w:t>日</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19</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24</w:t>
      </w:r>
      <w:r>
        <w:rPr>
          <w:rFonts w:hint="eastAsia" w:ascii="宋体" w:hAnsi="宋体"/>
          <w:color w:val="auto"/>
          <w:sz w:val="24"/>
          <w:szCs w:val="24"/>
          <w:highlight w:val="none"/>
          <w:u w:val="single"/>
        </w:rPr>
        <w:t>日17:30:00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日11:00:00</w:t>
      </w:r>
    </w:p>
    <w:p>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下载竞价文件及上传报价文件网址：http://www.fjzxzb.com</w:t>
      </w:r>
    </w:p>
    <w:p>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省智信招标有限公司都将在中国政府采购网(http://www.ccgp.gov.cn/)、福建省智信招标有限公司(http://www.fjzxzb.com)上公布，请潜在竞价人随时关注相关网站，以免错漏重要信息。</w:t>
      </w:r>
    </w:p>
    <w:p>
      <w:pPr>
        <w:spacing w:line="440" w:lineRule="exact"/>
        <w:ind w:firstLine="482" w:firstLineChars="200"/>
        <w:rPr>
          <w:rFonts w:ascii="宋体" w:hAnsi="宋体"/>
          <w:sz w:val="24"/>
          <w:szCs w:val="24"/>
        </w:rPr>
      </w:pPr>
      <w:r>
        <w:rPr>
          <w:rFonts w:hint="eastAsia" w:ascii="宋体" w:hAnsi="宋体"/>
          <w:b/>
          <w:color w:val="000000" w:themeColor="text1"/>
          <w:sz w:val="24"/>
          <w:szCs w:val="24"/>
          <w14:textFill>
            <w14:solidFill>
              <w14:schemeClr w14:val="tx1"/>
            </w14:solidFill>
          </w14:textFill>
        </w:rPr>
        <w:t>12、竞价文件售价0元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采购人名称：</w:t>
      </w:r>
      <w:r>
        <w:rPr>
          <w:rFonts w:hint="eastAsia" w:ascii="宋体" w:hAnsi="宋体"/>
          <w:sz w:val="24"/>
          <w:szCs w:val="24"/>
          <w:lang w:eastAsia="zh-CN"/>
        </w:rPr>
        <w:t>福建省福清监狱</w:t>
      </w:r>
    </w:p>
    <w:p>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地  址：</w:t>
      </w:r>
      <w:r>
        <w:rPr>
          <w:rFonts w:hint="eastAsia" w:ascii="宋体" w:hAnsi="宋体"/>
          <w:sz w:val="24"/>
          <w:szCs w:val="24"/>
          <w:lang w:eastAsia="zh-CN"/>
        </w:rPr>
        <w:t>福清市镜洋镇北张口</w:t>
      </w:r>
    </w:p>
    <w:p>
      <w:pPr>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陈</w:t>
      </w:r>
      <w:r>
        <w:rPr>
          <w:rFonts w:hint="eastAsia" w:ascii="宋体" w:hAnsi="宋体"/>
          <w:sz w:val="24"/>
          <w:szCs w:val="24"/>
        </w:rPr>
        <w:t>警官</w:t>
      </w:r>
    </w:p>
    <w:p>
      <w:pPr>
        <w:spacing w:line="440" w:lineRule="exact"/>
        <w:ind w:firstLine="480" w:firstLineChars="200"/>
        <w:rPr>
          <w:rFonts w:ascii="宋体" w:hAnsi="宋体"/>
          <w:sz w:val="24"/>
          <w:szCs w:val="24"/>
        </w:rPr>
      </w:pPr>
      <w:r>
        <w:rPr>
          <w:rFonts w:hint="eastAsia" w:ascii="宋体" w:hAnsi="宋体"/>
          <w:sz w:val="24"/>
          <w:szCs w:val="24"/>
        </w:rPr>
        <w:t>电话：0591-85316920</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采购代理机构名称：福建省智信招标有限公司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址：福建省福州市鼓楼区五四路159号世界金龙大厦14层A区单元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联系人：王凯霞</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话：0591-87616211转805</w:t>
      </w:r>
    </w:p>
    <w:p>
      <w:pPr>
        <w:spacing w:line="440" w:lineRule="exact"/>
        <w:ind w:firstLine="480" w:firstLineChars="200"/>
        <w:rPr>
          <w:rFonts w:ascii="宋体" w:hAnsi="宋体"/>
          <w:sz w:val="24"/>
          <w:szCs w:val="24"/>
        </w:rPr>
      </w:pPr>
      <w:r>
        <w:rPr>
          <w:rFonts w:hint="eastAsia" w:ascii="宋体" w:hAnsi="宋体"/>
          <w:sz w:val="24"/>
          <w:szCs w:val="24"/>
        </w:rPr>
        <w:t>电子信箱：zhixin019@126.com</w:t>
      </w:r>
    </w:p>
    <w:p>
      <w:pPr>
        <w:spacing w:line="440" w:lineRule="exact"/>
        <w:ind w:firstLine="482" w:firstLineChars="200"/>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r>
        <w:rPr>
          <w:rFonts w:hint="eastAsia" w:ascii="宋体" w:hAnsi="宋体"/>
          <w:b/>
          <w:sz w:val="24"/>
          <w:szCs w:val="24"/>
        </w:rPr>
        <w:t>14、竞价操作流程等详见</w:t>
      </w:r>
      <w:r>
        <w:rPr>
          <w:rFonts w:hint="eastAsia" w:ascii="宋体" w:hAnsi="宋体"/>
          <w:sz w:val="24"/>
          <w:szCs w:val="24"/>
          <w:u w:val="single"/>
        </w:rPr>
        <w:t>http://new.fjzxzb.com/newlist.aspx?id=2</w:t>
      </w:r>
      <w:r>
        <w:rPr>
          <w:rFonts w:hint="eastAsia" w:ascii="宋体" w:hAnsi="宋体"/>
          <w:sz w:val="24"/>
          <w:szCs w:val="24"/>
        </w:rPr>
        <w:t>。</w:t>
      </w:r>
    </w:p>
    <w:p>
      <w:pPr>
        <w:jc w:val="center"/>
        <w:rPr>
          <w:rFonts w:ascii="宋体" w:hAnsi="宋体"/>
          <w:sz w:val="24"/>
        </w:rPr>
      </w:pPr>
      <w:r>
        <w:rPr>
          <w:rFonts w:hint="eastAsia" w:ascii="宋体" w:hAnsi="宋体"/>
          <w:b/>
          <w:sz w:val="28"/>
          <w:szCs w:val="28"/>
        </w:rPr>
        <w:t>第二章  竞价采购说明一览表</w:t>
      </w:r>
    </w:p>
    <w:p>
      <w:pPr>
        <w:jc w:val="right"/>
        <w:rPr>
          <w:rFonts w:hint="eastAsia" w:ascii="宋体" w:hAnsi="宋体"/>
          <w:sz w:val="24"/>
          <w:szCs w:val="24"/>
        </w:rPr>
      </w:pPr>
      <w:r>
        <w:rPr>
          <w:rFonts w:hint="eastAsia" w:ascii="宋体" w:hAnsi="宋体"/>
          <w:sz w:val="24"/>
          <w:szCs w:val="24"/>
        </w:rPr>
        <w:t xml:space="preserve"> </w:t>
      </w:r>
    </w:p>
    <w:tbl>
      <w:tblPr>
        <w:tblStyle w:val="20"/>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75"/>
        <w:gridCol w:w="2925"/>
        <w:gridCol w:w="759"/>
        <w:gridCol w:w="1842"/>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24"/>
              </w:rPr>
            </w:pPr>
            <w:r>
              <w:rPr>
                <w:rFonts w:hint="eastAsia" w:ascii="宋体" w:hAnsi="宋体"/>
                <w:b/>
                <w:kern w:val="0"/>
                <w:sz w:val="24"/>
              </w:rPr>
              <w:t>包号</w:t>
            </w:r>
          </w:p>
        </w:tc>
        <w:tc>
          <w:tcPr>
            <w:tcW w:w="9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24"/>
              </w:rPr>
            </w:pPr>
            <w:r>
              <w:rPr>
                <w:rFonts w:hint="eastAsia" w:ascii="宋体" w:hAnsi="宋体"/>
                <w:b/>
                <w:kern w:val="0"/>
                <w:sz w:val="24"/>
              </w:rPr>
              <w:t>品目号</w:t>
            </w:r>
          </w:p>
        </w:tc>
        <w:tc>
          <w:tcPr>
            <w:tcW w:w="29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24"/>
              </w:rPr>
            </w:pPr>
            <w:r>
              <w:rPr>
                <w:rFonts w:hint="eastAsia" w:ascii="宋体" w:hAnsi="宋体"/>
                <w:b/>
                <w:kern w:val="0"/>
                <w:sz w:val="24"/>
              </w:rPr>
              <w:t>项目名称</w:t>
            </w:r>
          </w:p>
        </w:tc>
        <w:tc>
          <w:tcPr>
            <w:tcW w:w="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kern w:val="0"/>
                <w:sz w:val="24"/>
              </w:rPr>
            </w:pPr>
            <w:r>
              <w:rPr>
                <w:rFonts w:hint="eastAsia" w:ascii="宋体" w:hAnsi="宋体"/>
                <w:b/>
                <w:kern w:val="0"/>
                <w:sz w:val="24"/>
              </w:rPr>
              <w:t>合同期限</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kern w:val="0"/>
                <w:sz w:val="24"/>
              </w:rPr>
            </w:pPr>
            <w:r>
              <w:rPr>
                <w:rFonts w:hint="eastAsia" w:ascii="宋体" w:hAnsi="宋体"/>
                <w:b/>
                <w:kern w:val="0"/>
                <w:sz w:val="24"/>
              </w:rPr>
              <w:t>单价最高限价（含税）(元)</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24"/>
              </w:rPr>
            </w:pPr>
            <w:r>
              <w:rPr>
                <w:rFonts w:hint="eastAsia" w:ascii="宋体" w:hAnsi="宋体"/>
                <w:b/>
                <w:kern w:val="0"/>
                <w:sz w:val="24"/>
              </w:rPr>
              <w:t>总价最高限价（含税）(元)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40"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 w:val="24"/>
              </w:rPr>
            </w:pPr>
            <w:r>
              <w:rPr>
                <w:rFonts w:hint="eastAsia" w:ascii="宋体" w:hAnsi="宋体"/>
                <w:kern w:val="0"/>
                <w:sz w:val="24"/>
              </w:rPr>
              <w:t>1-1</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kern w:val="0"/>
                <w:sz w:val="24"/>
                <w:lang w:eastAsia="zh-CN"/>
              </w:rPr>
            </w:pPr>
            <w:r>
              <w:rPr>
                <w:rFonts w:hint="eastAsia" w:ascii="宋体" w:hAnsi="宋体"/>
                <w:bCs/>
                <w:sz w:val="24"/>
                <w:lang w:eastAsia="zh-CN"/>
              </w:rPr>
              <w:t>福建省福清监狱2023-2024年度日常更换用摄像头和门禁等配件采购项目</w:t>
            </w:r>
          </w:p>
        </w:tc>
        <w:tc>
          <w:tcPr>
            <w:tcW w:w="7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kern w:val="0"/>
                <w:sz w:val="24"/>
                <w:lang w:val="en-US" w:eastAsia="zh-CN"/>
              </w:rPr>
            </w:pPr>
            <w:r>
              <w:rPr>
                <w:rFonts w:hint="eastAsia" w:ascii="宋体" w:hAnsi="宋体"/>
                <w:kern w:val="0"/>
                <w:sz w:val="24"/>
                <w:lang w:val="en-US" w:eastAsia="zh-CN"/>
              </w:rPr>
              <w:t>一年</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kern w:val="0"/>
                <w:sz w:val="24"/>
                <w:lang w:val="en-US" w:eastAsia="zh-CN"/>
              </w:rPr>
            </w:pPr>
            <w:r>
              <w:rPr>
                <w:rFonts w:hint="eastAsia" w:ascii="宋体" w:hAnsi="宋体"/>
                <w:kern w:val="0"/>
                <w:sz w:val="24"/>
                <w:lang w:val="en-US" w:eastAsia="zh-CN"/>
              </w:rPr>
              <w:t>150000.00</w:t>
            </w:r>
          </w:p>
        </w:tc>
        <w:tc>
          <w:tcPr>
            <w:tcW w:w="1778"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lang w:val="en-US" w:eastAsia="zh-CN"/>
              </w:rPr>
              <w:t>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4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壹拾伍万</w:t>
            </w:r>
            <w:r>
              <w:rPr>
                <w:rFonts w:hint="eastAsia" w:ascii="宋体" w:hAnsi="宋体"/>
                <w:kern w:val="0"/>
                <w:sz w:val="24"/>
              </w:rPr>
              <w:t>元整</w:t>
            </w: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¥150000.00</w:t>
            </w:r>
          </w:p>
        </w:tc>
      </w:tr>
    </w:tbl>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highlight w:val="none"/>
        </w:rPr>
      </w:pPr>
      <w:r>
        <w:rPr>
          <w:rFonts w:hint="eastAsia" w:ascii="宋体" w:hAnsi="宋体"/>
          <w:b/>
          <w:bCs/>
          <w:sz w:val="24"/>
          <w:szCs w:val="24"/>
          <w:highlight w:val="none"/>
        </w:rPr>
        <w:t>（1）以上项目所列价格为采购预算的最高限价,</w:t>
      </w:r>
      <w:r>
        <w:rPr>
          <w:rFonts w:ascii="宋体" w:hAnsi="宋体" w:cs="宋体"/>
          <w:b/>
          <w:bCs/>
          <w:kern w:val="0"/>
          <w:sz w:val="24"/>
          <w:szCs w:val="24"/>
          <w:highlight w:val="none"/>
        </w:rPr>
        <w:t>竞价人提交的报价总价</w:t>
      </w:r>
      <w:r>
        <w:rPr>
          <w:rFonts w:hint="eastAsia" w:ascii="宋体" w:hAnsi="宋体" w:cs="宋体"/>
          <w:b/>
          <w:bCs/>
          <w:kern w:val="0"/>
          <w:sz w:val="24"/>
          <w:szCs w:val="24"/>
          <w:highlight w:val="none"/>
        </w:rPr>
        <w:t>不能超过竞价文件的总价</w:t>
      </w:r>
      <w:r>
        <w:rPr>
          <w:rFonts w:ascii="宋体" w:hAnsi="宋体" w:cs="宋体"/>
          <w:b/>
          <w:bCs/>
          <w:kern w:val="0"/>
          <w:sz w:val="24"/>
          <w:szCs w:val="24"/>
          <w:highlight w:val="none"/>
        </w:rPr>
        <w:t>最高限价，报价单价不能超过竞价文件的单价最高限价，否则，视为无效报价</w:t>
      </w:r>
      <w:r>
        <w:rPr>
          <w:rFonts w:hint="eastAsia" w:ascii="宋体" w:hAnsi="宋体" w:cs="宋体"/>
          <w:b/>
          <w:bCs/>
          <w:kern w:val="0"/>
          <w:sz w:val="24"/>
          <w:szCs w:val="24"/>
          <w:highlight w:val="none"/>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widowControl/>
        <w:jc w:val="left"/>
        <w:rPr>
          <w:rFonts w:ascii="宋体" w:hAnsi="宋体"/>
          <w:b/>
          <w:bCs/>
          <w:sz w:val="24"/>
          <w:szCs w:val="24"/>
        </w:rPr>
      </w:pPr>
      <w:r>
        <w:rPr>
          <w:rFonts w:ascii="宋体" w:hAnsi="宋体"/>
          <w:b/>
          <w:bCs/>
          <w:sz w:val="24"/>
          <w:szCs w:val="24"/>
        </w:rPr>
        <w:br w:type="page"/>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80" w:lineRule="exact"/>
        <w:ind w:firstLine="480" w:firstLineChars="200"/>
        <w:rPr>
          <w:rFonts w:hint="eastAsia" w:ascii="宋体" w:hAnsi="宋体" w:cs="宋体"/>
          <w:sz w:val="24"/>
        </w:rPr>
      </w:pPr>
      <w:r>
        <w:rPr>
          <w:rFonts w:hint="eastAsia" w:ascii="宋体" w:hAnsi="宋体" w:cs="宋体"/>
          <w:sz w:val="24"/>
        </w:rPr>
        <w:t>1、凡在中国境内注册具有法人资格，有能力提供招标内容及服务的代理商或制造商。（供应商须提供合格有效的营业执照副本复印件）。</w:t>
      </w:r>
    </w:p>
    <w:p>
      <w:pPr>
        <w:spacing w:line="480" w:lineRule="exact"/>
        <w:ind w:firstLine="480" w:firstLineChars="200"/>
        <w:rPr>
          <w:rFonts w:hint="eastAsia" w:ascii="宋体" w:hAnsi="宋体" w:cs="宋体"/>
          <w:sz w:val="24"/>
        </w:rPr>
      </w:pPr>
      <w:r>
        <w:rPr>
          <w:rFonts w:hint="eastAsia" w:ascii="宋体" w:hAnsi="宋体" w:cs="宋体"/>
          <w:sz w:val="24"/>
        </w:rPr>
        <w:t>2、供应商应具备《中华人民共和国政府采购法》第二十二条第一款规定的条件，并提供下列证明材料：</w:t>
      </w:r>
    </w:p>
    <w:p>
      <w:pPr>
        <w:spacing w:line="480" w:lineRule="exact"/>
        <w:ind w:firstLine="480" w:firstLineChars="200"/>
        <w:rPr>
          <w:rFonts w:hint="eastAsia" w:ascii="宋体" w:hAnsi="宋体" w:cs="宋体"/>
          <w:sz w:val="24"/>
        </w:rPr>
      </w:pPr>
      <w:r>
        <w:rPr>
          <w:rFonts w:hint="eastAsia" w:ascii="宋体" w:hAnsi="宋体" w:cs="宋体"/>
          <w:sz w:val="24"/>
        </w:rPr>
        <w:t>A、财务状况报告：2022年度企业财务报表或2022年度会计事务所出具的审计报告或银行资信证明文件复印件；</w:t>
      </w:r>
    </w:p>
    <w:p>
      <w:pPr>
        <w:spacing w:line="480" w:lineRule="exact"/>
        <w:ind w:firstLine="480" w:firstLineChars="200"/>
        <w:rPr>
          <w:rFonts w:hint="eastAsia" w:ascii="宋体" w:hAnsi="宋体" w:cs="宋体"/>
          <w:sz w:val="24"/>
        </w:rPr>
      </w:pPr>
      <w:r>
        <w:rPr>
          <w:rFonts w:hint="eastAsia" w:ascii="宋体" w:hAnsi="宋体" w:cs="宋体"/>
          <w:sz w:val="24"/>
        </w:rPr>
        <w:t>B、近期（提交报价文件截止时间前六个月（不含竞价截止时间的当月）任意一个月）依法缴纳税收和社会保障资金的证明材料；</w:t>
      </w:r>
    </w:p>
    <w:p>
      <w:pPr>
        <w:spacing w:line="480" w:lineRule="exact"/>
        <w:ind w:firstLine="480" w:firstLineChars="200"/>
        <w:rPr>
          <w:rFonts w:hint="eastAsia" w:ascii="宋体" w:hAnsi="宋体" w:cs="宋体"/>
          <w:sz w:val="24"/>
        </w:rPr>
      </w:pPr>
      <w:r>
        <w:rPr>
          <w:rFonts w:hint="eastAsia" w:ascii="宋体" w:hAnsi="宋体" w:cs="宋体"/>
          <w:sz w:val="24"/>
        </w:rPr>
        <w:t>C、参加政府采购活动前3年内在经营活动中没有重大违法记录及无行贿犯罪的书面声明；</w:t>
      </w:r>
    </w:p>
    <w:p>
      <w:pPr>
        <w:spacing w:line="480" w:lineRule="exact"/>
        <w:ind w:firstLine="480" w:firstLineChars="200"/>
        <w:rPr>
          <w:rFonts w:hint="eastAsia" w:ascii="宋体" w:hAnsi="宋体" w:cs="宋体"/>
          <w:sz w:val="24"/>
        </w:rPr>
      </w:pPr>
      <w:r>
        <w:rPr>
          <w:rFonts w:hint="eastAsia" w:ascii="宋体" w:hAnsi="宋体" w:cs="宋体"/>
          <w:sz w:val="24"/>
        </w:rPr>
        <w:t>D、具有履行合同所必需的设备和专业技术能力的声明函。</w:t>
      </w:r>
    </w:p>
    <w:p>
      <w:pPr>
        <w:spacing w:line="480" w:lineRule="exact"/>
        <w:ind w:firstLine="480" w:firstLineChars="200"/>
        <w:rPr>
          <w:rFonts w:hint="eastAsia" w:ascii="宋体" w:hAnsi="宋体" w:cs="宋体"/>
          <w:sz w:val="24"/>
        </w:rPr>
      </w:pPr>
      <w:r>
        <w:rPr>
          <w:rFonts w:hint="eastAsia" w:ascii="宋体" w:hAnsi="宋体" w:cs="宋体"/>
          <w:sz w:val="24"/>
        </w:rPr>
        <w:t>3、供应商须提供“信用中国”网站（www.creditchina.gov.cn）及中国政府采购网（www.ccgp.gov.cn）信用信息查询无严重违法失信行为信息记录的打印件（或截图）。</w:t>
      </w:r>
    </w:p>
    <w:p>
      <w:pPr>
        <w:pStyle w:val="2"/>
        <w:spacing w:line="480" w:lineRule="exact"/>
      </w:pPr>
      <w:r>
        <w:rPr>
          <w:rFonts w:hint="eastAsia" w:ascii="宋体" w:hAnsi="宋体" w:cs="宋体"/>
          <w:sz w:val="24"/>
        </w:rPr>
        <w:t xml:space="preserve">   </w:t>
      </w:r>
      <w:r>
        <w:rPr>
          <w:rFonts w:hint="eastAsia" w:ascii="宋体" w:hAnsi="宋体" w:cs="宋体"/>
          <w:sz w:val="24"/>
          <w:szCs w:val="24"/>
        </w:rPr>
        <w:t xml:space="preserve"> </w:t>
      </w:r>
      <w:r>
        <w:rPr>
          <w:rFonts w:hint="eastAsia" w:ascii="宋体" w:hAnsi="宋体" w:cs="宋体"/>
          <w:color w:val="auto"/>
          <w:sz w:val="24"/>
          <w:szCs w:val="24"/>
        </w:rPr>
        <w:t>4、财务状况报告、依法缴纳税收和依法缴纳社会保障资金的相关材料要求（竞价文件其他地方要求与本条款要求不一致的，以本条款要求为准）：(1)供应商在报价文件中可自行选择是否提供资格承诺函 （格式详见附件），若按附件内容要求提供资格承诺函，无需在报价文件中提交财务状况、缴纳税收和社保资金缴纳证明材料，采购人有权在签订合同前要求 成交供应商提供相关证明材料以核实 成交供应商承诺事项的真实性。供应商应当遵循诚实守信的原则，不得作出虚假承诺，承诺不实的，属于提供虚假材料谋取中标、成交，依法追究相关的法律责任。（2）若不提供本承诺函的，应按竞价文件要求提供相应的证明材料。（3）供应商可刪减承诺事项，如刪去承诺第1项的，则应按竞价文件要求提供财务状况报告。</w:t>
      </w:r>
    </w:p>
    <w:p>
      <w:pPr>
        <w:spacing w:line="480" w:lineRule="exact"/>
        <w:ind w:firstLine="480" w:firstLineChars="200"/>
        <w:rPr>
          <w:rFonts w:hint="eastAsia" w:ascii="宋体" w:hAnsi="宋体" w:cs="宋体"/>
          <w:sz w:val="24"/>
        </w:rPr>
      </w:pPr>
      <w:r>
        <w:rPr>
          <w:rFonts w:hint="eastAsia" w:ascii="宋体" w:hAnsi="宋体" w:cs="宋体"/>
          <w:sz w:val="24"/>
        </w:rPr>
        <w:t>5、本项目不接受联合体。</w:t>
      </w:r>
    </w:p>
    <w:p>
      <w:pPr>
        <w:spacing w:line="480" w:lineRule="exact"/>
        <w:ind w:firstLine="480" w:firstLineChars="200"/>
        <w:rPr>
          <w:rFonts w:ascii="宋体" w:hAnsi="宋体" w:cs="宋体"/>
          <w:sz w:val="24"/>
        </w:rPr>
      </w:pPr>
      <w:r>
        <w:rPr>
          <w:rFonts w:hint="eastAsia" w:ascii="宋体" w:hAnsi="宋体" w:cs="宋体"/>
          <w:sz w:val="24"/>
        </w:rPr>
        <w:t>注：供应商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供应商公章。</w:t>
      </w:r>
    </w:p>
    <w:p>
      <w:pPr>
        <w:spacing w:line="480" w:lineRule="exact"/>
        <w:ind w:firstLine="480" w:firstLineChars="200"/>
        <w:rPr>
          <w:rFonts w:hAnsi="宋体"/>
          <w:b/>
          <w:bCs/>
          <w:sz w:val="24"/>
        </w:rPr>
      </w:pPr>
      <w:r>
        <w:rPr>
          <w:rFonts w:hint="eastAsia" w:ascii="宋体" w:hAnsi="宋体" w:cs="宋体"/>
          <w:sz w:val="24"/>
        </w:rPr>
        <w:t>依法免税或不需要缴纳社会保障资金的供应商，应提供相应文件证明其依法免税或不需要缴纳社会保障资金。</w:t>
      </w:r>
    </w:p>
    <w:p>
      <w:pPr>
        <w:pStyle w:val="44"/>
        <w:tabs>
          <w:tab w:val="left" w:pos="2425"/>
        </w:tabs>
        <w:spacing w:line="400" w:lineRule="exact"/>
        <w:ind w:firstLine="482" w:firstLineChars="200"/>
        <w:jc w:val="left"/>
        <w:outlineLvl w:val="9"/>
        <w:rPr>
          <w:rFonts w:hint="eastAsia" w:hAnsi="宋体"/>
          <w:b/>
          <w:bCs/>
          <w:sz w:val="24"/>
          <w:szCs w:val="24"/>
        </w:rPr>
      </w:pPr>
      <w:r>
        <w:rPr>
          <w:rFonts w:hint="eastAsia" w:hAnsi="宋体"/>
          <w:b/>
          <w:bCs/>
          <w:sz w:val="24"/>
          <w:szCs w:val="24"/>
        </w:rPr>
        <w:t>（二）技术和服务要求</w:t>
      </w:r>
    </w:p>
    <w:p>
      <w:pPr>
        <w:pStyle w:val="44"/>
        <w:tabs>
          <w:tab w:val="left" w:pos="2425"/>
        </w:tabs>
        <w:spacing w:line="400" w:lineRule="exact"/>
        <w:ind w:firstLine="482" w:firstLineChars="200"/>
        <w:jc w:val="left"/>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一）服务要求</w:t>
      </w:r>
    </w:p>
    <w:p>
      <w:pPr>
        <w:pStyle w:val="51"/>
        <w:spacing w:line="460" w:lineRule="exact"/>
        <w:ind w:firstLine="562"/>
        <w:rPr>
          <w:rFonts w:hint="eastAsia" w:ascii="宋体" w:hAnsi="宋体" w:eastAsia="宋体" w:cs="宋体"/>
          <w:sz w:val="24"/>
          <w:szCs w:val="24"/>
          <w:lang w:val="en-US" w:eastAsia="zh-CN"/>
        </w:rPr>
      </w:pP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为福清监狱提供摄像头和门禁等配件采购及安装服务，</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接到</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耗材需求后应保证第一时间把货物送达指定地点并进行安装调试直至正常使用，费用据实结算。全天候7*24小时保质保量的完成全年的采购调试安装任务。</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应在到货后8小时内安装调试完毕</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指导操作流程并通过验收，保证产品正常使</w:t>
      </w:r>
      <w:r>
        <w:rPr>
          <w:rFonts w:hint="eastAsia" w:ascii="宋体" w:hAnsi="宋体" w:eastAsia="宋体" w:cs="宋体"/>
          <w:color w:val="auto"/>
          <w:sz w:val="24"/>
          <w:szCs w:val="24"/>
          <w:lang w:val="en-US" w:eastAsia="zh-CN"/>
        </w:rPr>
        <w:t>用</w:t>
      </w:r>
      <w:r>
        <w:rPr>
          <w:rFonts w:hint="eastAsia" w:ascii="宋体" w:hAnsi="宋体" w:eastAsia="宋体" w:cs="宋体"/>
          <w:color w:val="auto"/>
          <w:sz w:val="24"/>
          <w:szCs w:val="24"/>
          <w:lang w:eastAsia="zh-CN"/>
        </w:rPr>
        <w:t>（设备安装调试未涉及到有</w:t>
      </w:r>
      <w:r>
        <w:rPr>
          <w:rFonts w:hint="eastAsia" w:ascii="宋体" w:hAnsi="宋体" w:eastAsia="宋体" w:cs="宋体"/>
          <w:color w:val="auto"/>
          <w:sz w:val="24"/>
          <w:szCs w:val="24"/>
          <w:lang w:val="en-US" w:eastAsia="zh-CN"/>
        </w:rPr>
        <w:t>10米以上线路敷设工程时，安装调试费用由</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lang w:val="en-US" w:eastAsia="zh-CN"/>
        </w:rPr>
        <w:t>负责）。</w:t>
      </w:r>
      <w:r>
        <w:rPr>
          <w:rFonts w:hint="eastAsia" w:ascii="宋体" w:hAnsi="宋体" w:eastAsia="宋体" w:cs="宋体"/>
          <w:sz w:val="24"/>
          <w:szCs w:val="24"/>
          <w:lang w:val="en-US" w:eastAsia="zh-CN"/>
        </w:rPr>
        <w:t>若产品出现问题，</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应于接到福清监狱工作人员通知后24小时内到达指定地点进行处理，并解决问题。</w:t>
      </w:r>
    </w:p>
    <w:p>
      <w:pPr>
        <w:pStyle w:val="44"/>
        <w:tabs>
          <w:tab w:val="left" w:pos="2425"/>
        </w:tabs>
        <w:spacing w:line="400" w:lineRule="exact"/>
        <w:ind w:firstLine="482" w:firstLineChars="200"/>
        <w:jc w:val="left"/>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二）合同期限及金额</w:t>
      </w:r>
    </w:p>
    <w:p>
      <w:pPr>
        <w:pStyle w:val="51"/>
        <w:keepNext w:val="0"/>
        <w:keepLines w:val="0"/>
        <w:pageBreakBefore w:val="0"/>
        <w:kinsoku/>
        <w:wordWrap/>
        <w:overflowPunct/>
        <w:topLinePunct w:val="0"/>
        <w:autoSpaceDE/>
        <w:autoSpaceDN/>
        <w:bidi w:val="0"/>
        <w:spacing w:line="440" w:lineRule="exact"/>
        <w:ind w:firstLine="560"/>
      </w:pPr>
      <w:r>
        <w:rPr>
          <w:rFonts w:hint="eastAsia" w:ascii="宋体" w:hAnsi="宋体" w:eastAsia="宋体" w:cs="宋体"/>
          <w:sz w:val="24"/>
          <w:szCs w:val="24"/>
          <w:lang w:val="en-US" w:eastAsia="zh-CN"/>
        </w:rPr>
        <w:t>合同期限一年。费用</w:t>
      </w:r>
      <w:r>
        <w:rPr>
          <w:rFonts w:hint="eastAsia" w:ascii="宋体" w:hAnsi="宋体" w:eastAsia="宋体" w:cs="宋体"/>
          <w:sz w:val="24"/>
          <w:szCs w:val="24"/>
        </w:rPr>
        <w:t>按实结算，结算总金额不超过本项目预算金额人民币</w:t>
      </w:r>
      <w:r>
        <w:rPr>
          <w:rFonts w:hint="eastAsia" w:ascii="宋体" w:hAnsi="宋体" w:eastAsia="宋体" w:cs="宋体"/>
          <w:sz w:val="24"/>
          <w:szCs w:val="24"/>
          <w:u w:val="single"/>
        </w:rPr>
        <w:t xml:space="preserve"> 1</w:t>
      </w:r>
      <w:r>
        <w:rPr>
          <w:rFonts w:hint="eastAsia" w:ascii="宋体" w:hAnsi="宋体" w:eastAsia="宋体" w:cs="宋体"/>
          <w:sz w:val="24"/>
          <w:szCs w:val="24"/>
          <w:u w:val="single"/>
          <w:lang w:val="en-US" w:eastAsia="zh-CN"/>
        </w:rPr>
        <w:t>50000</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color="auto"/>
          <w:lang w:eastAsia="zh-CN"/>
        </w:rPr>
        <w:t>壹</w:t>
      </w:r>
      <w:r>
        <w:rPr>
          <w:rFonts w:hint="eastAsia" w:ascii="宋体" w:hAnsi="宋体" w:eastAsia="宋体" w:cs="宋体"/>
          <w:sz w:val="24"/>
          <w:szCs w:val="24"/>
          <w:u w:val="single"/>
        </w:rPr>
        <w:t>拾</w:t>
      </w:r>
      <w:r>
        <w:rPr>
          <w:rFonts w:hint="eastAsia" w:ascii="宋体" w:hAnsi="宋体" w:eastAsia="宋体" w:cs="宋体"/>
          <w:sz w:val="24"/>
          <w:szCs w:val="24"/>
          <w:u w:val="single"/>
          <w:lang w:eastAsia="zh-CN"/>
        </w:rPr>
        <w:t>伍</w:t>
      </w:r>
      <w:r>
        <w:rPr>
          <w:rFonts w:hint="eastAsia" w:ascii="宋体" w:hAnsi="宋体" w:eastAsia="宋体" w:cs="宋体"/>
          <w:sz w:val="24"/>
          <w:szCs w:val="24"/>
          <w:u w:val="single"/>
        </w:rPr>
        <w:t>万</w:t>
      </w:r>
      <w:r>
        <w:rPr>
          <w:rFonts w:hint="eastAsia" w:ascii="宋体" w:hAnsi="宋体" w:eastAsia="宋体" w:cs="宋体"/>
          <w:sz w:val="24"/>
          <w:szCs w:val="24"/>
          <w:u w:val="none" w:color="auto"/>
        </w:rPr>
        <w:t>元</w:t>
      </w:r>
      <w:r>
        <w:rPr>
          <w:rFonts w:hint="eastAsia" w:ascii="宋体" w:hAnsi="宋体" w:eastAsia="宋体" w:cs="宋体"/>
          <w:sz w:val="24"/>
          <w:szCs w:val="24"/>
        </w:rPr>
        <w:t>整）；若在合同期内采购总金额已经达到本项目预算总金额，则本合同自动终止；合同价款为含税价格且包括</w:t>
      </w:r>
      <w:r>
        <w:rPr>
          <w:rFonts w:hint="eastAsia" w:ascii="宋体" w:hAnsi="宋体" w:cs="宋体"/>
          <w:sz w:val="24"/>
          <w:szCs w:val="24"/>
          <w:lang w:eastAsia="zh-CN"/>
        </w:rPr>
        <w:t>成交供应商</w:t>
      </w:r>
      <w:r>
        <w:rPr>
          <w:rFonts w:hint="eastAsia" w:ascii="宋体" w:hAnsi="宋体" w:eastAsia="宋体" w:cs="宋体"/>
          <w:sz w:val="24"/>
          <w:szCs w:val="24"/>
        </w:rPr>
        <w:t>履行合同所产生的一切费用,包括但不限于货物运输、包装、制作、安装及退换货物所产生的一切费用等。本项目实际结算以实际供货量跟实际结算单价为准，实际结算单价=基准单价×（1-成交下浮率），实际供货量以采购人实际需求为准，实际结算不可超总预算(</w:t>
      </w:r>
      <w:r>
        <w:rPr>
          <w:rFonts w:hint="eastAsia" w:ascii="宋体" w:hAnsi="宋体" w:cs="宋体"/>
          <w:sz w:val="24"/>
          <w:szCs w:val="24"/>
          <w:lang w:val="en-US" w:eastAsia="zh-CN"/>
        </w:rPr>
        <w:t>15</w:t>
      </w:r>
      <w:r>
        <w:rPr>
          <w:rFonts w:hint="eastAsia" w:ascii="宋体" w:hAnsi="宋体" w:eastAsia="宋体" w:cs="宋体"/>
          <w:sz w:val="24"/>
          <w:szCs w:val="24"/>
        </w:rPr>
        <w:t>万元)。</w:t>
      </w:r>
    </w:p>
    <w:p>
      <w:pPr>
        <w:spacing w:line="440" w:lineRule="exact"/>
        <w:ind w:firstLine="481"/>
        <w:rPr>
          <w:rFonts w:hint="default" w:ascii="宋体" w:hAnsi="宋体" w:eastAsia="宋体" w:cs="宋体"/>
          <w:b/>
          <w:bCs/>
          <w:sz w:val="24"/>
          <w:szCs w:val="24"/>
          <w:lang w:val="en-US" w:eastAsia="zh-CN"/>
        </w:rPr>
      </w:pPr>
      <w:r>
        <w:rPr>
          <w:rFonts w:hint="eastAsia" w:hAnsi="宋体" w:cs="宋体"/>
          <w:b/>
          <w:bCs/>
          <w:sz w:val="24"/>
          <w:szCs w:val="24"/>
          <w:lang w:val="en-US" w:eastAsia="zh-CN"/>
        </w:rPr>
        <w:t>三</w:t>
      </w:r>
      <w:r>
        <w:rPr>
          <w:rFonts w:hint="eastAsia" w:ascii="宋体" w:hAnsi="宋体" w:eastAsia="宋体" w:cs="宋体"/>
          <w:b/>
          <w:bCs/>
          <w:sz w:val="24"/>
          <w:szCs w:val="24"/>
          <w:lang w:val="en-US" w:eastAsia="zh-CN"/>
        </w:rPr>
        <w:t>）</w:t>
      </w:r>
      <w:r>
        <w:rPr>
          <w:rFonts w:hint="eastAsia" w:hAnsi="宋体" w:cs="宋体"/>
          <w:b/>
          <w:bCs/>
          <w:sz w:val="24"/>
          <w:szCs w:val="24"/>
          <w:lang w:val="en-US" w:eastAsia="zh-CN"/>
        </w:rPr>
        <w:t>采购清单</w:t>
      </w:r>
      <w:r>
        <w:rPr>
          <w:rFonts w:hint="eastAsia" w:ascii="宋体" w:hAnsi="宋体"/>
          <w:b/>
          <w:bCs/>
          <w:sz w:val="24"/>
          <w:szCs w:val="24"/>
        </w:rPr>
        <w:t>（注：清单中涉及</w:t>
      </w:r>
      <w:r>
        <w:rPr>
          <w:rFonts w:hint="eastAsia" w:ascii="宋体" w:hAnsi="宋体" w:cs="宋体"/>
          <w:b/>
          <w:color w:val="000000"/>
          <w:kern w:val="0"/>
          <w:sz w:val="24"/>
          <w:szCs w:val="24"/>
          <w:lang w:bidi="ar"/>
        </w:rPr>
        <w:t>规格</w:t>
      </w:r>
      <w:r>
        <w:rPr>
          <w:rFonts w:hint="eastAsia" w:ascii="宋体" w:hAnsi="宋体" w:cs="宋体"/>
          <w:b/>
          <w:color w:val="000000"/>
          <w:kern w:val="0"/>
          <w:sz w:val="24"/>
          <w:szCs w:val="24"/>
          <w:lang w:eastAsia="zh-CN" w:bidi="ar"/>
        </w:rPr>
        <w:t>、</w:t>
      </w:r>
      <w:r>
        <w:rPr>
          <w:rFonts w:hint="eastAsia" w:ascii="宋体" w:hAnsi="宋体"/>
          <w:b/>
          <w:bCs/>
          <w:sz w:val="24"/>
          <w:szCs w:val="24"/>
        </w:rPr>
        <w:t>尺寸、体积、重量等要求未规定偏离的，允许偏离±1%）</w:t>
      </w:r>
    </w:p>
    <w:tbl>
      <w:tblPr>
        <w:tblStyle w:val="2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239"/>
        <w:gridCol w:w="4857"/>
        <w:gridCol w:w="583"/>
        <w:gridCol w:w="525"/>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性能指标</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单价</w:t>
            </w:r>
            <w:r>
              <w:rPr>
                <w:rFonts w:hint="eastAsia" w:ascii="宋体" w:hAnsi="宋体" w:eastAsia="宋体" w:cs="宋体"/>
                <w:b/>
                <w:bCs/>
                <w:i w:val="0"/>
                <w:iCs w:val="0"/>
                <w:color w:val="000000"/>
                <w:kern w:val="0"/>
                <w:sz w:val="24"/>
                <w:szCs w:val="24"/>
                <w:u w:val="none"/>
                <w:lang w:val="en-US" w:eastAsia="zh-CN" w:bidi="ar"/>
              </w:rPr>
              <w:t>最高限价</w:t>
            </w:r>
            <w:r>
              <w:rPr>
                <w:rFonts w:hint="eastAsia" w:ascii="宋体" w:hAnsi="宋体" w:cs="宋体"/>
                <w:b/>
                <w:bCs/>
                <w:i w:val="0"/>
                <w:iCs w:val="0"/>
                <w:color w:val="000000"/>
                <w:kern w:val="0"/>
                <w:sz w:val="24"/>
                <w:szCs w:val="24"/>
                <w:u w:val="none"/>
                <w:lang w:val="en-US" w:eastAsia="zh-CN" w:bidi="ar"/>
              </w:rPr>
              <w:t>/基准单价</w:t>
            </w:r>
            <w:r>
              <w:rPr>
                <w:rFonts w:hint="eastAsia" w:ascii="宋体" w:hAnsi="宋体" w:eastAsia="宋体" w:cs="宋体"/>
                <w:b/>
                <w:bCs/>
                <w:i w:val="0"/>
                <w:iCs w:val="0"/>
                <w:color w:val="000000"/>
                <w:kern w:val="0"/>
                <w:sz w:val="24"/>
                <w:szCs w:val="24"/>
                <w:u w:val="none"/>
                <w:lang w:val="en-US" w:eastAsia="zh-CN" w:bidi="ar"/>
              </w:rPr>
              <w:t>（含税）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双门门禁控制器</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压力：100g—1000g；MAX=10Kg；</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次数：10万次（以上）；                                </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电压：DC7V--35V（伏）；</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电流：不刷卡时110--150mA；</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刷卡驱动继电器、蜂鸣时 &lt;50mA；</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纹波允许：&gt;500mV/1KHz；</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瞬间干扰吸收：&gt;2000V/60</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门禁读卡器</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default" w:ascii="宋体" w:hAnsi="宋体" w:eastAsia="宋体" w:cs="宋体"/>
                <w:sz w:val="24"/>
                <w:szCs w:val="24"/>
                <w:lang w:val="en-US" w:eastAsia="zh-CN" w:bidi="ar"/>
              </w:rPr>
            </w:pPr>
            <w:r>
              <w:rPr>
                <w:rStyle w:val="52"/>
                <w:rFonts w:hint="eastAsia" w:ascii="宋体" w:hAnsi="宋体" w:cs="宋体"/>
                <w:sz w:val="24"/>
                <w:szCs w:val="24"/>
                <w:lang w:val="en-US" w:eastAsia="zh-CN" w:bidi="ar"/>
              </w:rPr>
              <w:t>1、</w:t>
            </w:r>
            <w:r>
              <w:rPr>
                <w:rStyle w:val="52"/>
                <w:rFonts w:hint="eastAsia" w:ascii="宋体" w:hAnsi="宋体" w:eastAsia="宋体" w:cs="宋体"/>
                <w:sz w:val="24"/>
                <w:szCs w:val="24"/>
                <w:lang w:val="en-US" w:eastAsia="zh-CN" w:bidi="ar"/>
              </w:rPr>
              <w:t>读卡类型：ID卡</w:t>
            </w:r>
            <w:r>
              <w:rPr>
                <w:rStyle w:val="52"/>
                <w:rFonts w:hint="eastAsia" w:ascii="宋体" w:hAnsi="宋体" w:cs="宋体"/>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eastAsia="宋体" w:cs="宋体"/>
                <w:sz w:val="24"/>
                <w:szCs w:val="24"/>
                <w:lang w:val="en-US" w:eastAsia="zh-CN" w:bidi="ar"/>
              </w:rPr>
            </w:pPr>
            <w:r>
              <w:rPr>
                <w:rStyle w:val="52"/>
                <w:rFonts w:hint="eastAsia" w:ascii="宋体" w:hAnsi="宋体" w:cs="宋体"/>
                <w:sz w:val="24"/>
                <w:szCs w:val="24"/>
                <w:lang w:val="en-US" w:eastAsia="zh-CN" w:bidi="ar"/>
              </w:rPr>
              <w:t>2、</w:t>
            </w:r>
            <w:r>
              <w:rPr>
                <w:rStyle w:val="52"/>
                <w:rFonts w:hint="eastAsia" w:ascii="宋体" w:hAnsi="宋体" w:eastAsia="宋体" w:cs="宋体"/>
                <w:sz w:val="24"/>
                <w:szCs w:val="24"/>
                <w:lang w:val="en-US" w:eastAsia="zh-CN" w:bidi="ar"/>
              </w:rPr>
              <w:t>声音提示：蜂鸣器</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eastAsia="宋体" w:cs="宋体"/>
                <w:sz w:val="24"/>
                <w:szCs w:val="24"/>
                <w:lang w:val="en-US" w:eastAsia="zh-CN" w:bidi="ar"/>
              </w:rPr>
            </w:pPr>
            <w:r>
              <w:rPr>
                <w:rStyle w:val="52"/>
                <w:rFonts w:hint="eastAsia" w:ascii="宋体" w:hAnsi="宋体" w:cs="宋体"/>
                <w:sz w:val="24"/>
                <w:szCs w:val="24"/>
                <w:lang w:val="en-US" w:eastAsia="zh-CN" w:bidi="ar"/>
              </w:rPr>
              <w:t>3、</w:t>
            </w:r>
            <w:r>
              <w:rPr>
                <w:rStyle w:val="52"/>
                <w:rFonts w:hint="eastAsia" w:ascii="宋体" w:hAnsi="宋体" w:eastAsia="宋体" w:cs="宋体"/>
                <w:sz w:val="24"/>
                <w:szCs w:val="24"/>
                <w:lang w:val="en-US" w:eastAsia="zh-CN" w:bidi="ar"/>
              </w:rPr>
              <w:t>按键：机械式按键</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eastAsia="宋体" w:cs="宋体"/>
                <w:sz w:val="24"/>
                <w:szCs w:val="24"/>
                <w:lang w:val="en-US" w:eastAsia="zh-CN" w:bidi="ar"/>
              </w:rPr>
            </w:pPr>
            <w:r>
              <w:rPr>
                <w:rStyle w:val="52"/>
                <w:rFonts w:hint="eastAsia" w:ascii="宋体" w:hAnsi="宋体" w:cs="宋体"/>
                <w:sz w:val="24"/>
                <w:szCs w:val="24"/>
                <w:lang w:val="en-US" w:eastAsia="zh-CN" w:bidi="ar"/>
              </w:rPr>
              <w:t>4、</w:t>
            </w:r>
            <w:r>
              <w:rPr>
                <w:rStyle w:val="52"/>
                <w:rFonts w:hint="eastAsia" w:ascii="宋体" w:hAnsi="宋体" w:eastAsia="宋体" w:cs="宋体"/>
                <w:sz w:val="24"/>
                <w:szCs w:val="24"/>
                <w:lang w:val="en-US" w:eastAsia="zh-CN" w:bidi="ar"/>
              </w:rPr>
              <w:t>工作电压：DC 12V</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eastAsia="宋体" w:cs="宋体"/>
                <w:sz w:val="24"/>
                <w:szCs w:val="24"/>
                <w:lang w:val="en-US" w:eastAsia="zh-CN" w:bidi="ar"/>
              </w:rPr>
            </w:pPr>
            <w:r>
              <w:rPr>
                <w:rStyle w:val="52"/>
                <w:rFonts w:hint="eastAsia" w:ascii="宋体" w:hAnsi="宋体" w:cs="宋体"/>
                <w:sz w:val="24"/>
                <w:szCs w:val="24"/>
                <w:lang w:val="en-US" w:eastAsia="zh-CN" w:bidi="ar"/>
              </w:rPr>
              <w:t>5、</w:t>
            </w:r>
            <w:r>
              <w:rPr>
                <w:rStyle w:val="52"/>
                <w:rFonts w:hint="eastAsia" w:ascii="宋体" w:hAnsi="宋体" w:eastAsia="宋体" w:cs="宋体"/>
                <w:sz w:val="24"/>
                <w:szCs w:val="24"/>
                <w:lang w:val="en-US" w:eastAsia="zh-CN" w:bidi="ar"/>
              </w:rPr>
              <w:t>液晶显示器：支持STN显示屏，分辨率为128*64点</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eastAsia="宋体" w:cs="宋体"/>
                <w:sz w:val="24"/>
                <w:szCs w:val="24"/>
                <w:lang w:val="en-US" w:eastAsia="zh-CN" w:bidi="ar"/>
              </w:rPr>
            </w:pPr>
            <w:r>
              <w:rPr>
                <w:rStyle w:val="52"/>
                <w:rFonts w:hint="eastAsia" w:ascii="宋体" w:hAnsi="宋体" w:cs="宋体"/>
                <w:sz w:val="24"/>
                <w:szCs w:val="24"/>
                <w:lang w:val="en-US" w:eastAsia="zh-CN" w:bidi="ar"/>
              </w:rPr>
              <w:t>6、</w:t>
            </w:r>
            <w:r>
              <w:rPr>
                <w:rStyle w:val="52"/>
                <w:rFonts w:hint="eastAsia" w:ascii="宋体" w:hAnsi="宋体" w:eastAsia="宋体" w:cs="宋体"/>
                <w:sz w:val="24"/>
                <w:szCs w:val="24"/>
                <w:lang w:val="en-US" w:eastAsia="zh-CN" w:bidi="ar"/>
              </w:rPr>
              <w:t>LED指示灯：支持LED指示灯</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eastAsia="宋体" w:cs="宋体"/>
                <w:sz w:val="24"/>
                <w:szCs w:val="24"/>
                <w:highlight w:val="none"/>
                <w:lang w:val="en-US" w:eastAsia="zh-CN" w:bidi="ar"/>
              </w:rPr>
            </w:pPr>
            <w:r>
              <w:rPr>
                <w:rStyle w:val="52"/>
                <w:rFonts w:hint="eastAsia" w:ascii="宋体" w:hAnsi="宋体" w:cs="宋体"/>
                <w:sz w:val="24"/>
                <w:szCs w:val="24"/>
                <w:lang w:val="en-US" w:eastAsia="zh-CN" w:bidi="ar"/>
              </w:rPr>
              <w:t>7、</w:t>
            </w:r>
            <w:r>
              <w:rPr>
                <w:rStyle w:val="52"/>
                <w:rFonts w:hint="eastAsia" w:ascii="宋体" w:hAnsi="宋体" w:eastAsia="宋体" w:cs="宋体"/>
                <w:sz w:val="24"/>
                <w:szCs w:val="24"/>
                <w:lang w:val="en-US" w:eastAsia="zh-CN" w:bidi="ar"/>
              </w:rPr>
              <w:t>外</w:t>
            </w:r>
            <w:r>
              <w:rPr>
                <w:rStyle w:val="52"/>
                <w:rFonts w:hint="eastAsia" w:ascii="宋体" w:hAnsi="宋体" w:eastAsia="宋体" w:cs="宋体"/>
                <w:sz w:val="24"/>
                <w:szCs w:val="24"/>
                <w:highlight w:val="none"/>
                <w:lang w:val="en-US" w:eastAsia="zh-CN" w:bidi="ar"/>
              </w:rPr>
              <w:t>形尺寸：126.5*94.5*24（mm）</w:t>
            </w:r>
            <w:r>
              <w:rPr>
                <w:rStyle w:val="52"/>
                <w:rFonts w:hint="eastAsia" w:ascii="宋体" w:hAnsi="宋体" w:cs="宋体"/>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eastAsia="宋体" w:cs="宋体"/>
                <w:sz w:val="24"/>
                <w:szCs w:val="24"/>
                <w:highlight w:val="none"/>
                <w:lang w:val="en-US" w:eastAsia="zh-CN" w:bidi="ar"/>
              </w:rPr>
            </w:pPr>
            <w:r>
              <w:rPr>
                <w:rStyle w:val="52"/>
                <w:rFonts w:hint="eastAsia" w:ascii="宋体" w:hAnsi="宋体" w:cs="宋体"/>
                <w:sz w:val="24"/>
                <w:szCs w:val="24"/>
                <w:highlight w:val="none"/>
                <w:lang w:val="en-US" w:eastAsia="zh-CN" w:bidi="ar"/>
              </w:rPr>
              <w:t>8、</w:t>
            </w:r>
            <w:r>
              <w:rPr>
                <w:rStyle w:val="52"/>
                <w:rFonts w:hint="eastAsia" w:ascii="宋体" w:hAnsi="宋体" w:eastAsia="宋体" w:cs="宋体"/>
                <w:sz w:val="24"/>
                <w:szCs w:val="24"/>
                <w:highlight w:val="none"/>
                <w:lang w:val="en-US" w:eastAsia="zh-CN" w:bidi="ar"/>
              </w:rPr>
              <w:t>工作电流：0.17A(max)（无负载状态）</w:t>
            </w:r>
            <w:r>
              <w:rPr>
                <w:rStyle w:val="52"/>
                <w:rFonts w:hint="eastAsia" w:ascii="宋体" w:hAnsi="宋体" w:cs="宋体"/>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eastAsia="宋体" w:cs="宋体"/>
                <w:sz w:val="24"/>
                <w:szCs w:val="24"/>
                <w:highlight w:val="none"/>
                <w:lang w:val="en-US" w:eastAsia="zh-CN" w:bidi="ar"/>
              </w:rPr>
            </w:pPr>
            <w:r>
              <w:rPr>
                <w:rStyle w:val="52"/>
                <w:rFonts w:hint="eastAsia" w:ascii="宋体" w:hAnsi="宋体" w:cs="宋体"/>
                <w:sz w:val="24"/>
                <w:szCs w:val="24"/>
                <w:highlight w:val="none"/>
                <w:lang w:val="en-US" w:eastAsia="zh-CN" w:bidi="ar"/>
              </w:rPr>
              <w:t>9、</w:t>
            </w:r>
            <w:r>
              <w:rPr>
                <w:rStyle w:val="52"/>
                <w:rFonts w:hint="eastAsia" w:ascii="宋体" w:hAnsi="宋体" w:eastAsia="宋体" w:cs="宋体"/>
                <w:sz w:val="24"/>
                <w:szCs w:val="24"/>
                <w:highlight w:val="none"/>
                <w:lang w:val="en-US" w:eastAsia="zh-CN" w:bidi="ar"/>
              </w:rPr>
              <w:t>合法卡存储：≥3000张；</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eastAsia="宋体" w:cs="宋体"/>
                <w:sz w:val="24"/>
                <w:szCs w:val="24"/>
                <w:highlight w:val="none"/>
                <w:lang w:val="en-US" w:eastAsia="zh-CN" w:bidi="ar"/>
              </w:rPr>
            </w:pPr>
            <w:r>
              <w:rPr>
                <w:rStyle w:val="52"/>
                <w:rFonts w:hint="eastAsia" w:ascii="宋体" w:hAnsi="宋体" w:cs="宋体"/>
                <w:sz w:val="24"/>
                <w:szCs w:val="24"/>
                <w:highlight w:val="none"/>
                <w:lang w:val="en-US" w:eastAsia="zh-CN" w:bidi="ar"/>
              </w:rPr>
              <w:t>10、</w:t>
            </w:r>
            <w:r>
              <w:rPr>
                <w:rStyle w:val="52"/>
                <w:rFonts w:hint="eastAsia" w:ascii="宋体" w:hAnsi="宋体" w:eastAsia="宋体" w:cs="宋体"/>
                <w:sz w:val="24"/>
                <w:szCs w:val="24"/>
                <w:highlight w:val="none"/>
                <w:lang w:val="en-US" w:eastAsia="zh-CN" w:bidi="ar"/>
              </w:rPr>
              <w:t>刷卡记录容量：</w:t>
            </w:r>
            <w:r>
              <w:rPr>
                <w:rFonts w:hint="eastAsia" w:ascii="宋体" w:hAnsi="宋体" w:eastAsia="宋体" w:cs="宋体"/>
                <w:i w:val="0"/>
                <w:iCs w:val="0"/>
                <w:color w:val="000000"/>
                <w:kern w:val="0"/>
                <w:sz w:val="24"/>
                <w:szCs w:val="24"/>
                <w:highlight w:val="none"/>
                <w:u w:val="none"/>
                <w:lang w:val="en-US" w:eastAsia="zh-CN" w:bidi="ar"/>
              </w:rPr>
              <w:t>≥</w:t>
            </w:r>
            <w:r>
              <w:rPr>
                <w:rStyle w:val="52"/>
                <w:rFonts w:hint="eastAsia" w:ascii="宋体" w:hAnsi="宋体" w:eastAsia="宋体" w:cs="宋体"/>
                <w:sz w:val="24"/>
                <w:szCs w:val="24"/>
                <w:highlight w:val="none"/>
                <w:lang w:val="en-US" w:eastAsia="zh-CN" w:bidi="ar"/>
              </w:rPr>
              <w:t>1万</w:t>
            </w:r>
            <w:r>
              <w:rPr>
                <w:rStyle w:val="52"/>
                <w:rFonts w:hint="eastAsia" w:ascii="宋体" w:hAnsi="宋体" w:cs="宋体"/>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eastAsia="宋体" w:cs="宋体"/>
                <w:sz w:val="24"/>
                <w:szCs w:val="24"/>
                <w:lang w:val="en-US" w:eastAsia="zh-CN" w:bidi="ar"/>
              </w:rPr>
            </w:pPr>
            <w:r>
              <w:rPr>
                <w:rStyle w:val="52"/>
                <w:rFonts w:hint="eastAsia" w:ascii="宋体" w:hAnsi="宋体" w:cs="宋体"/>
                <w:sz w:val="24"/>
                <w:szCs w:val="24"/>
                <w:lang w:val="en-US" w:eastAsia="zh-CN" w:bidi="ar"/>
              </w:rPr>
              <w:t>11、</w:t>
            </w:r>
            <w:r>
              <w:rPr>
                <w:rStyle w:val="52"/>
                <w:rFonts w:hint="eastAsia" w:ascii="宋体" w:hAnsi="宋体" w:eastAsia="宋体" w:cs="宋体"/>
                <w:sz w:val="24"/>
                <w:szCs w:val="24"/>
                <w:lang w:val="en-US" w:eastAsia="zh-CN" w:bidi="ar"/>
              </w:rPr>
              <w:t>通讯方式：TCP/IP</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eastAsia="宋体" w:cs="宋体"/>
                <w:sz w:val="24"/>
                <w:szCs w:val="24"/>
                <w:lang w:val="en-US" w:eastAsia="zh-CN" w:bidi="ar"/>
              </w:rPr>
            </w:pPr>
            <w:r>
              <w:rPr>
                <w:rStyle w:val="52"/>
                <w:rFonts w:hint="eastAsia" w:ascii="宋体" w:hAnsi="宋体" w:cs="宋体"/>
                <w:sz w:val="24"/>
                <w:szCs w:val="24"/>
                <w:lang w:val="en-US" w:eastAsia="zh-CN" w:bidi="ar"/>
              </w:rPr>
              <w:t>12、</w:t>
            </w:r>
            <w:r>
              <w:rPr>
                <w:rStyle w:val="52"/>
                <w:rFonts w:hint="eastAsia" w:ascii="宋体" w:hAnsi="宋体" w:eastAsia="宋体" w:cs="宋体"/>
                <w:sz w:val="24"/>
                <w:szCs w:val="24"/>
                <w:lang w:val="en-US" w:eastAsia="zh-CN" w:bidi="ar"/>
              </w:rPr>
              <w:t>工作温度：-20℃~＋65℃</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eastAsia="宋体" w:cs="宋体"/>
                <w:sz w:val="24"/>
                <w:szCs w:val="24"/>
                <w:lang w:val="en-US" w:eastAsia="zh-CN" w:bidi="ar"/>
              </w:rPr>
            </w:pPr>
            <w:r>
              <w:rPr>
                <w:rStyle w:val="52"/>
                <w:rFonts w:hint="eastAsia" w:ascii="宋体" w:hAnsi="宋体" w:cs="宋体"/>
                <w:sz w:val="24"/>
                <w:szCs w:val="24"/>
                <w:lang w:val="en-US" w:eastAsia="zh-CN" w:bidi="ar"/>
              </w:rPr>
              <w:t>13、</w:t>
            </w:r>
            <w:r>
              <w:rPr>
                <w:rStyle w:val="52"/>
                <w:rFonts w:hint="eastAsia" w:ascii="宋体" w:hAnsi="宋体" w:eastAsia="宋体" w:cs="宋体"/>
                <w:sz w:val="24"/>
                <w:szCs w:val="24"/>
                <w:lang w:val="en-US" w:eastAsia="zh-CN" w:bidi="ar"/>
              </w:rPr>
              <w:t>工作湿度：10%至90%(在不凝结水滴状态下)</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宋体" w:hAnsi="宋体" w:eastAsia="宋体" w:cs="宋体"/>
                <w:i w:val="0"/>
                <w:iCs w:val="0"/>
                <w:color w:val="000000"/>
                <w:kern w:val="2"/>
                <w:sz w:val="24"/>
                <w:szCs w:val="24"/>
                <w:u w:val="none"/>
                <w:lang w:val="en-US" w:eastAsia="zh-CN" w:bidi="ar-SA"/>
              </w:rPr>
            </w:pPr>
            <w:r>
              <w:rPr>
                <w:rStyle w:val="52"/>
                <w:rFonts w:hint="eastAsia" w:ascii="宋体" w:hAnsi="宋体" w:cs="宋体"/>
                <w:sz w:val="24"/>
                <w:szCs w:val="24"/>
                <w:lang w:val="en-US" w:eastAsia="zh-CN" w:bidi="ar"/>
              </w:rPr>
              <w:t>14、</w:t>
            </w:r>
            <w:r>
              <w:rPr>
                <w:rStyle w:val="52"/>
                <w:rFonts w:hint="eastAsia" w:ascii="宋体" w:hAnsi="宋体" w:eastAsia="宋体" w:cs="宋体"/>
                <w:sz w:val="24"/>
                <w:szCs w:val="24"/>
                <w:lang w:val="en-US" w:eastAsia="zh-CN" w:bidi="ar"/>
              </w:rPr>
              <w:t>防水等级：室内，不防水</w:t>
            </w:r>
            <w:r>
              <w:rPr>
                <w:rStyle w:val="52"/>
                <w:rFonts w:hint="eastAsia" w:ascii="宋体" w:hAnsi="宋体" w:cs="宋体"/>
                <w:sz w:val="24"/>
                <w:szCs w:val="24"/>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双门门禁控制器</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微处理器≥32 位，稳定运行≥180MHZ，达到 200MIPS 运行效率，内嵌 Linux 操作系统，固化存储，采用 CPLD、FLASH 等技术，集成度高、容量大、信息可靠不丢失，TCP/IP 通讯，通讯速率≥10/100MB，跨网段、跨区域实现大规模门禁系统，支持局域网、VPN 网、企业专网等多种组网方式，实现大规模多级管理、监控门禁统</w:t>
            </w:r>
            <w:r>
              <w:rPr>
                <w:rFonts w:hint="eastAsia" w:ascii="宋体" w:hAnsi="宋体" w:cs="宋体"/>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1、存卡数量100000张；支持警务通；</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2、至少存储200000条刷卡记录；</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3、外形尺寸：250L*150W*20H</w:t>
            </w:r>
            <w:r>
              <w:rPr>
                <w:rFonts w:hint="eastAsia" w:ascii="宋体" w:hAnsi="宋体" w:cs="宋体"/>
                <w:i w:val="0"/>
                <w:iCs w:val="0"/>
                <w:color w:val="000000"/>
                <w:kern w:val="0"/>
                <w:sz w:val="24"/>
                <w:szCs w:val="24"/>
                <w:highlight w:val="none"/>
                <w:u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，定制成集中控制箱；</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4、环境温度：-30℃~+75℃；</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5、通讯方式</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RS485；RS232；TCP</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IP；</w:t>
            </w: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6、电源输入：DC220V额定功耗20W；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7、支持多种开锁模式、支持AB虚拟换证功能；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8、支持双门以上互锁功能；</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9、可实现与视频监控的联动；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10、宵禁模式和工作模式可自动切换；</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11、支持一健戒严</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门禁读卡器</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1、读写卡类型：CPU，支持警务通功能；</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2、读写时间小于0.5秒；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3、外形尺寸</w:t>
            </w:r>
            <w:r>
              <w:rPr>
                <w:rFonts w:hint="eastAsia" w:ascii="宋体" w:hAnsi="宋体" w:eastAsia="宋体" w:cs="宋体"/>
                <w:i w:val="0"/>
                <w:iCs w:val="0"/>
                <w:color w:val="000000"/>
                <w:kern w:val="0"/>
                <w:sz w:val="24"/>
                <w:szCs w:val="24"/>
                <w:highlight w:val="none"/>
                <w:u w:val="none"/>
                <w:lang w:val="en-US" w:eastAsia="zh-CN" w:bidi="ar"/>
              </w:rPr>
              <w:t>：25L*10W*8H</w:t>
            </w:r>
            <w:r>
              <w:rPr>
                <w:rFonts w:hint="eastAsia" w:ascii="宋体" w:hAnsi="宋体" w:cs="宋体"/>
                <w:i w:val="0"/>
                <w:iCs w:val="0"/>
                <w:color w:val="000000"/>
                <w:kern w:val="0"/>
                <w:sz w:val="24"/>
                <w:szCs w:val="24"/>
                <w:highlight w:val="none"/>
                <w:u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4、电源输入：15VDC 500mmA</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功率3W</w:t>
            </w:r>
            <w:r>
              <w:rPr>
                <w:rFonts w:hint="eastAsia" w:ascii="宋体" w:hAnsi="宋体" w:cs="宋体"/>
                <w:i w:val="0"/>
                <w:iCs w:val="0"/>
                <w:color w:val="000000"/>
                <w:kern w:val="0"/>
                <w:sz w:val="24"/>
                <w:szCs w:val="24"/>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5、环境温度：-30~+55℃；</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6、防水不锈钢防暴键盘，可支持全天候户外使用，键盘寿命高达三百万次；</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7、控制器与读头实现ID捆绑；</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8、支持在线升级；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9、防拆、防爆及二级防雷；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10、支持刷卡、虚拟换卡与密码等多种认证方式；</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11、反胁迫密码功能。</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门禁锁</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上锁方式：通电上锁</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适用配套：适用于楼宇门、防火门防盗门，办公</w:t>
            </w:r>
            <w:r>
              <w:rPr>
                <w:rFonts w:hint="eastAsia" w:ascii="宋体" w:hAnsi="宋体" w:cs="宋体"/>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门、消防通道门智能门禁系统</w:t>
            </w:r>
            <w:r>
              <w:rPr>
                <w:rFonts w:hint="eastAsia" w:ascii="宋体" w:hAnsi="宋体" w:cs="宋体"/>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面板材质：电镀</w:t>
            </w:r>
            <w:r>
              <w:rPr>
                <w:rFonts w:hint="eastAsia" w:ascii="宋体" w:hAnsi="宋体" w:cs="宋体"/>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锁芯材质：纯铜</w:t>
            </w:r>
            <w:r>
              <w:rPr>
                <w:rFonts w:hint="eastAsia" w:ascii="宋体" w:hAnsi="宋体" w:cs="宋体"/>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开锁电流：0.5A</w:t>
            </w:r>
            <w:r>
              <w:rPr>
                <w:rFonts w:hint="eastAsia" w:ascii="宋体" w:hAnsi="宋体" w:cs="宋体"/>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开锁电压：12V</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重量：1.5KG</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运转次数：50万次以上</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单门磁力锁</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1、锁体尺寸</w:t>
            </w:r>
            <w:r>
              <w:rPr>
                <w:rFonts w:hint="eastAsia" w:ascii="宋体" w:hAnsi="宋体" w:eastAsia="宋体" w:cs="宋体"/>
                <w:i w:val="0"/>
                <w:iCs w:val="0"/>
                <w:color w:val="000000"/>
                <w:kern w:val="0"/>
                <w:sz w:val="24"/>
                <w:szCs w:val="24"/>
                <w:highlight w:val="none"/>
                <w:u w:val="none"/>
                <w:lang w:val="en-US" w:eastAsia="zh-CN" w:bidi="ar"/>
              </w:rPr>
              <w:t>:238L*25W*45H</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mm</w:t>
            </w:r>
            <w:r>
              <w:rPr>
                <w:rFonts w:hint="eastAsia" w:ascii="宋体" w:hAnsi="宋体" w:cs="宋体"/>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2、吸板尺寸:182L*38W*12.5H(mm)</w:t>
            </w:r>
            <w:r>
              <w:rPr>
                <w:rFonts w:hint="eastAsia" w:ascii="宋体" w:hAnsi="宋体" w:cs="宋体"/>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3、最大拉力:280kg</w:t>
            </w:r>
            <w:r>
              <w:rPr>
                <w:rFonts w:hint="eastAsia" w:ascii="宋体" w:hAnsi="宋体" w:cs="宋体"/>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4、输入电压: 12VDC</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5、工作电流:340mA</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6、产品重量:21KG</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7、适用门型:木门、玻璃门、金属门、防火门</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ins w:id="0" w:author="Administrator" w:date="2023-07-16T14:46:05Z"/>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单门磁力锁LZ型支架 </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default"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1、L型支架尺寸:长238x宽30x厚47(mm)</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default"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2、适用电锁:磁力锁系列</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default"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3、Z型支架尺寸:长185x宽44x厚50(mm)</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eastAsia" w:ascii="宋体" w:hAnsi="宋体" w:cs="宋体"/>
                <w:sz w:val="24"/>
                <w:szCs w:val="24"/>
                <w:lang w:val="en-US" w:eastAsia="zh-CN" w:bidi="ar"/>
              </w:rPr>
            </w:pPr>
            <w:r>
              <w:rPr>
                <w:rStyle w:val="52"/>
                <w:rFonts w:hint="eastAsia" w:ascii="宋体" w:hAnsi="宋体" w:eastAsia="宋体" w:cs="宋体"/>
                <w:sz w:val="24"/>
                <w:szCs w:val="24"/>
                <w:lang w:val="en-US" w:eastAsia="zh-CN" w:bidi="ar"/>
              </w:rPr>
              <w:t>4、适用门型:支持内开式木门、金属门</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default"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5、选用材料:需采用高强铝合金，表面喷沙氧化处理</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52"/>
                <w:rFonts w:hint="default"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6、产品重量:</w:t>
            </w:r>
            <w:r>
              <w:rPr>
                <w:rFonts w:hint="eastAsia" w:ascii="宋体" w:hAnsi="宋体" w:eastAsia="宋体" w:cs="宋体"/>
                <w:i w:val="0"/>
                <w:iCs w:val="0"/>
                <w:color w:val="000000"/>
                <w:kern w:val="0"/>
                <w:sz w:val="24"/>
                <w:szCs w:val="24"/>
                <w:u w:val="none"/>
                <w:lang w:val="en-US" w:eastAsia="zh-CN" w:bidi="ar"/>
              </w:rPr>
              <w:t>≤</w:t>
            </w:r>
            <w:r>
              <w:rPr>
                <w:rStyle w:val="52"/>
                <w:rFonts w:hint="eastAsia" w:ascii="宋体" w:hAnsi="宋体" w:eastAsia="宋体" w:cs="宋体"/>
                <w:sz w:val="24"/>
                <w:szCs w:val="24"/>
                <w:lang w:val="en-US" w:eastAsia="zh-CN" w:bidi="ar"/>
              </w:rPr>
              <w:t>0.77KG</w:t>
            </w:r>
            <w:r>
              <w:rPr>
                <w:rStyle w:val="52"/>
                <w:rFonts w:hint="eastAsia" w:ascii="宋体" w:hAnsi="宋体" w:cs="宋体"/>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宋体" w:hAnsi="宋体" w:eastAsia="宋体" w:cs="宋体"/>
                <w:i w:val="0"/>
                <w:iCs w:val="0"/>
                <w:color w:val="000000"/>
                <w:kern w:val="0"/>
                <w:sz w:val="24"/>
                <w:szCs w:val="24"/>
                <w:u w:val="none"/>
                <w:lang w:val="en-US" w:eastAsia="zh-CN" w:bidi="ar"/>
              </w:rPr>
            </w:pPr>
            <w:r>
              <w:rPr>
                <w:rStyle w:val="52"/>
                <w:rFonts w:hint="eastAsia" w:ascii="宋体" w:hAnsi="宋体" w:eastAsia="宋体" w:cs="宋体"/>
                <w:sz w:val="24"/>
                <w:szCs w:val="24"/>
                <w:lang w:val="en-US" w:eastAsia="zh-CN" w:bidi="ar"/>
              </w:rPr>
              <w:t>7、开门方式:90度开门</w:t>
            </w:r>
            <w:r>
              <w:rPr>
                <w:rStyle w:val="52"/>
                <w:rFonts w:hint="eastAsia" w:ascii="宋体" w:hAnsi="宋体" w:cs="宋体"/>
                <w:sz w:val="24"/>
                <w:szCs w:val="24"/>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电插锁</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rPr>
                <w:rStyle w:val="52"/>
                <w:rFonts w:hint="default" w:ascii="宋体" w:hAnsi="宋体" w:eastAsia="宋体" w:cs="宋体"/>
                <w:sz w:val="24"/>
                <w:szCs w:val="24"/>
                <w:lang w:val="en-US" w:eastAsia="zh-CN" w:bidi="ar"/>
              </w:rPr>
            </w:pPr>
            <w:r>
              <w:rPr>
                <w:rStyle w:val="52"/>
                <w:rFonts w:hint="eastAsia" w:ascii="宋体" w:hAnsi="宋体" w:cs="宋体"/>
                <w:sz w:val="24"/>
                <w:szCs w:val="24"/>
                <w:lang w:val="en-US" w:eastAsia="zh-CN" w:bidi="ar"/>
              </w:rPr>
              <w:t>1、</w:t>
            </w:r>
            <w:r>
              <w:rPr>
                <w:rStyle w:val="52"/>
                <w:rFonts w:hint="eastAsia" w:ascii="宋体" w:hAnsi="宋体" w:eastAsia="宋体" w:cs="宋体"/>
                <w:sz w:val="24"/>
                <w:szCs w:val="24"/>
                <w:lang w:val="en-US" w:eastAsia="zh-CN" w:bidi="ar"/>
              </w:rPr>
              <w:t>产品尺寸：238Lx30Wx47H(mm)</w:t>
            </w:r>
            <w:r>
              <w:rPr>
                <w:rStyle w:val="52"/>
                <w:rFonts w:hint="eastAsia" w:ascii="宋体" w:hAnsi="宋体" w:cs="宋体"/>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工作电流：启动电流≤1.1A，工作电流≤0.15A</w:t>
            </w:r>
            <w:r>
              <w:rPr>
                <w:rFonts w:hint="eastAsia" w:ascii="宋体" w:hAnsi="宋体" w:cs="宋体"/>
                <w:i w:val="0"/>
                <w:iCs w:val="0"/>
                <w:caps w:val="0"/>
                <w:color w:val="000000"/>
                <w:spacing w:val="0"/>
                <w:sz w:val="24"/>
                <w:szCs w:val="24"/>
                <w:shd w:val="clear" w:fill="FFFFFF"/>
                <w:lang w:val="en-US" w:eastAsia="zh-CN"/>
              </w:rPr>
              <w:t>；</w:t>
            </w:r>
          </w:p>
          <w:p>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信号输出：锁状态侦测信号输出锁</w:t>
            </w:r>
            <w:r>
              <w:rPr>
                <w:rFonts w:hint="eastAsia" w:ascii="宋体" w:hAnsi="宋体" w:cs="宋体"/>
                <w:i w:val="0"/>
                <w:iCs w:val="0"/>
                <w:caps w:val="0"/>
                <w:color w:val="000000"/>
                <w:spacing w:val="0"/>
                <w:sz w:val="24"/>
                <w:szCs w:val="24"/>
                <w:shd w:val="clear" w:fill="FFFFFF"/>
                <w:lang w:val="en-US" w:eastAsia="zh-CN"/>
              </w:rPr>
              <w:t>；</w:t>
            </w:r>
          </w:p>
          <w:p>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舌尺寸：15mm</w:t>
            </w:r>
            <w:r>
              <w:rPr>
                <w:rFonts w:hint="eastAsia" w:ascii="宋体" w:hAnsi="宋体" w:cs="宋体"/>
                <w:i w:val="0"/>
                <w:iCs w:val="0"/>
                <w:caps w:val="0"/>
                <w:color w:val="000000"/>
                <w:spacing w:val="0"/>
                <w:sz w:val="24"/>
                <w:szCs w:val="24"/>
                <w:shd w:val="clear" w:fill="FFFFFF"/>
                <w:lang w:val="en-US" w:eastAsia="zh-CN"/>
              </w:rPr>
              <w:t>；</w:t>
            </w:r>
          </w:p>
          <w:p>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适用门型：门框和门扇在同一平面下</w:t>
            </w:r>
            <w:r>
              <w:rPr>
                <w:rFonts w:hint="eastAsia" w:ascii="宋体" w:hAnsi="宋体" w:cs="宋体"/>
                <w:i w:val="0"/>
                <w:iCs w:val="0"/>
                <w:caps w:val="0"/>
                <w:color w:val="000000"/>
                <w:spacing w:val="0"/>
                <w:sz w:val="24"/>
                <w:szCs w:val="24"/>
                <w:shd w:val="clear" w:fill="FFFFFF"/>
                <w:lang w:val="en-US" w:eastAsia="zh-CN"/>
              </w:rPr>
              <w:t>；</w:t>
            </w:r>
          </w:p>
          <w:p>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rPr>
              <w:t>输入电压：DC12V</w:t>
            </w:r>
            <w:r>
              <w:rPr>
                <w:rFonts w:hint="eastAsia" w:ascii="宋体" w:hAnsi="宋体" w:cs="宋体"/>
                <w:i w:val="0"/>
                <w:iCs w:val="0"/>
                <w:caps w:val="0"/>
                <w:color w:val="000000"/>
                <w:spacing w:val="0"/>
                <w:sz w:val="24"/>
                <w:szCs w:val="24"/>
                <w:shd w:val="clear" w:fill="FFFFFF"/>
                <w:lang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闭门器</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调速方式：二段调速</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产品重量：≈1.4KG</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产品功能：不定位</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产品承重：85KG</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产品材质：铝铸</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机芯孔距：</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188*19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mm</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适用范围：木门、防盗门</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急停按钮控制盒</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触点电阻：≤50mΩ(初始值）</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机械寿命：瞬动型：100万次，其它：10万次</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电寿命：瞬动型：AC 50万次、DC 25万次，其它：10万次</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防护等级：IP40</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千兆光模块</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1000BASE-LX mini GBIC转换模块（1310nm），10km</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万兆光模块</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万兆单模光模块，波长1310nm,传输距离10KM。</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监控硬盘</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容量4T,与现有监控平台存储设备高度兼容</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监控硬盘</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容量6T,与现有监控平台存储设备高度兼容</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监控硬盘</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容量8T,与现有监控平台存储设备高度兼容</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高清网络半球摄像机</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采用≥1/2.8英寸逐行扫描200万像素图像传感器，水平解像力≥1100线，镜头支持2.8mm、4.0mm、6.0mm定焦可选。</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红外灯可在低照度下手动或自动开启，智能红外红外夜视距离≥100m，支持最低照度：彩色≤0.005lx、黑白≤0.0001lx。</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三码流设置1920×1080@30fps，码率为2Mbps</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1280×720@30fps，码率为1Mbps</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720×576@30fps，码率为1Mbps。</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支持H.265、H.264、MJPEG编码协议。</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支持宽动态、透雾、图像镜像、逆光补偿，自动增益控制功能。</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支持越界入侵、区域入侵、进入区域、离开区域、徘徊检测、快速移动、人员聚集、非法停车、遗留物检测、人脸抓拍、物品移除检测、场景变更、虚焦侦测、客流统计等智能检测功能。</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支持网关ARP绑定功能：设备支持通过IE浏览器添加并绑定设备所在网段网关的MAC地址，当其他终端设备访问该设备时，若使用正确网关MAC地址时，则可以正常访问设备，若使用错误网关MAC地址，则不能访问设备。</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须</w:t>
            </w:r>
            <w:r>
              <w:rPr>
                <w:rFonts w:hint="eastAsia" w:ascii="宋体" w:hAnsi="宋体" w:eastAsia="宋体" w:cs="宋体"/>
                <w:b/>
                <w:bCs/>
                <w:i w:val="0"/>
                <w:iCs w:val="0"/>
                <w:color w:val="000000"/>
                <w:kern w:val="0"/>
                <w:sz w:val="24"/>
                <w:szCs w:val="24"/>
                <w:u w:val="none"/>
                <w:lang w:val="en-US" w:eastAsia="zh-CN" w:bidi="ar"/>
              </w:rPr>
              <w:t>提供国家认可的质量检测机构</w:t>
            </w:r>
            <w:r>
              <w:rPr>
                <w:rFonts w:hint="eastAsia" w:ascii="宋体" w:hAnsi="宋体" w:cs="宋体"/>
                <w:b/>
                <w:bCs/>
                <w:i w:val="0"/>
                <w:iCs w:val="0"/>
                <w:color w:val="000000"/>
                <w:kern w:val="0"/>
                <w:sz w:val="24"/>
                <w:szCs w:val="24"/>
                <w:u w:val="none"/>
                <w:lang w:val="en-US" w:eastAsia="zh-CN" w:bidi="ar"/>
              </w:rPr>
              <w:t>出具的</w:t>
            </w:r>
            <w:r>
              <w:rPr>
                <w:rFonts w:hint="eastAsia" w:ascii="宋体" w:hAnsi="宋体" w:eastAsia="宋体" w:cs="宋体"/>
                <w:b/>
                <w:bCs/>
                <w:i w:val="0"/>
                <w:iCs w:val="0"/>
                <w:color w:val="000000"/>
                <w:kern w:val="0"/>
                <w:sz w:val="24"/>
                <w:szCs w:val="24"/>
                <w:u w:val="none"/>
                <w:lang w:val="en-US" w:eastAsia="zh-CN" w:bidi="ar"/>
              </w:rPr>
              <w:t>检测报告</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支持OSD显示功能：字体可设置为不同像素，字体颜色描边、正常、背景、空心可设置，字符区域对齐、最小边距可设置，叠加OSD可在屏幕中滚动显示。</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须</w:t>
            </w:r>
            <w:r>
              <w:rPr>
                <w:rFonts w:hint="eastAsia" w:ascii="宋体" w:hAnsi="宋体" w:eastAsia="宋体" w:cs="宋体"/>
                <w:b/>
                <w:bCs/>
                <w:i w:val="0"/>
                <w:iCs w:val="0"/>
                <w:color w:val="000000"/>
                <w:kern w:val="0"/>
                <w:sz w:val="24"/>
                <w:szCs w:val="24"/>
                <w:u w:val="none"/>
                <w:lang w:val="en-US" w:eastAsia="zh-CN" w:bidi="ar"/>
              </w:rPr>
              <w:t>提供国家认可的质量检测机构</w:t>
            </w:r>
            <w:r>
              <w:rPr>
                <w:rFonts w:hint="eastAsia" w:ascii="宋体" w:hAnsi="宋体" w:cs="宋体"/>
                <w:b/>
                <w:bCs/>
                <w:i w:val="0"/>
                <w:iCs w:val="0"/>
                <w:color w:val="000000"/>
                <w:kern w:val="0"/>
                <w:sz w:val="24"/>
                <w:szCs w:val="24"/>
                <w:u w:val="none"/>
                <w:lang w:val="en-US" w:eastAsia="zh-CN" w:bidi="ar"/>
              </w:rPr>
              <w:t>出具的</w:t>
            </w:r>
            <w:r>
              <w:rPr>
                <w:rFonts w:hint="eastAsia" w:ascii="宋体" w:hAnsi="宋体" w:eastAsia="宋体" w:cs="宋体"/>
                <w:b/>
                <w:bCs/>
                <w:i w:val="0"/>
                <w:iCs w:val="0"/>
                <w:color w:val="000000"/>
                <w:kern w:val="0"/>
                <w:sz w:val="24"/>
                <w:szCs w:val="24"/>
                <w:u w:val="none"/>
                <w:lang w:val="en-US" w:eastAsia="zh-CN" w:bidi="ar"/>
              </w:rPr>
              <w:t>检测报告</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提供DC12V电源输入口，支持正负极反插功能，满足长时间在±35％电压波动电网中工作</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支持20％抗丢包能力，IPC图像效果良好</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适用-35～60℃温度环境工作</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高清广角半球摄像机</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采用≥1/2.8英寸逐行扫描500万像素图像传感器，水平解像力≥1800线，焦距2.1mm。</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摄像机提供≥1路RJ45网络接口，≥1路RS485接口，≥1路BNC接口，≥2路告警输入，≥1路告警输出，≥2路音频输入，≥1路音频输出，支持内置拾音器和扬声器，DC12V或POE供电。</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最低照度：彩色≤0.005lx、黑白≤0.0005lx</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设备支持五码流，主码流：2592×1944@30fps；第二码流：1920×1080@20fps；第三码流：720×576@10fps；第四码流：1920×1080@20fps；第五码流：720×576@10fps。</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支持前端存储，最大支持256GB TF卡。</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亮度鉴别等级≥11级，亮度信号信噪比≥58dB；具有前端畸变矫正功能。</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设备支持移动侦测、越界入侵、进入区域、离开区域、区域入侵、徘徊检测、快速移动、人员聚集、物品搬移、物品遗留、遮挡检测、虚焦检测、场景变更、人脸检测、客流量统计等智能识别检测功能。</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具有人脸抓拍功能，可对经过设定区域的行人进行人脸检测和人脸跟踪，当检测到人脸后，可抓拍人脸图片，抓拍图片数量可设，可设置抓拍人脸小图。</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支持OSD显示功能：叠加的OSD支持在屏幕中滚动显示，支持在视频图像叠加图片；具有循环过滤功能：具有循环过滤设置选项。</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支持移动侦测功能，当设定侦测区域内有目标移动时，可在客户端给出报警提示，可同时支持18×22个区域的移动侦测；支持认证模式设置检查，在客户端软件或IE浏览器下，具有认证模式设置选项，包括（无、basic和digest）三种设置选项。</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具有宽动态条纹抑制设置选项。</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支持添加并绑定设备所在网段网关的MAC地址，当其他终端设备访问该设备时，若使用正确网关MAC地址时，则支持正常访问设备，若使用错误网关MAC地址，则不能访问设备。</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支持低拖影曝光设置功能：具有低拖影曝光模式。</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适用-40～60℃温度环境工作；≥IP67防护等级，≥IK10机械防撞等级。</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mini网络半球(带拾音器）</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采用≥1/2.7英寸逐行扫描200万像素图像传感器，支持5倍光学变焦，</w:t>
            </w:r>
            <w:r>
              <w:rPr>
                <w:rFonts w:hint="eastAsia" w:ascii="宋体" w:hAnsi="宋体" w:eastAsia="宋体" w:cs="宋体"/>
                <w:i w:val="0"/>
                <w:iCs w:val="0"/>
                <w:color w:val="000000"/>
                <w:kern w:val="0"/>
                <w:sz w:val="24"/>
                <w:szCs w:val="24"/>
                <w:highlight w:val="none"/>
                <w:u w:val="none"/>
                <w:lang w:val="en-US" w:eastAsia="zh-CN" w:bidi="ar"/>
              </w:rPr>
              <w:t>内置</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2.7~21.6</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mm电动变焦镜头；内置GPU芯片</w:t>
            </w:r>
            <w:r>
              <w:rPr>
                <w:rFonts w:hint="eastAsia" w:ascii="宋体" w:hAnsi="宋体" w:cs="宋体"/>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 xml:space="preserve"> 最低照度：彩色≤0.005lx、黑白≤0.0005lx，水平分辨率：≥1100TV</w:t>
            </w:r>
            <w:r>
              <w:rPr>
                <w:rFonts w:hint="eastAsia" w:ascii="宋体" w:hAnsi="宋体" w:eastAsia="宋体" w:cs="宋体"/>
                <w:i w:val="0"/>
                <w:iCs w:val="0"/>
                <w:color w:val="000000"/>
                <w:kern w:val="0"/>
                <w:sz w:val="24"/>
                <w:szCs w:val="24"/>
                <w:u w:val="none"/>
                <w:lang w:val="en-US" w:eastAsia="zh-CN" w:bidi="ar"/>
              </w:rPr>
              <w:t>L</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支持H.264、H.265、MPEG-4视频编码标准；支持三码流，主码流≥1920×1080@30fps</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具有≥1024个预置位，存预置位和调用预置位功能正常</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支持宽动态、走廊模式、透雾、图像镜像、逆光补偿功能</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支持越界检测、区域入侵、进入区域、离开区域、徘徊检测、快速移动、人员聚集、非法停车、遗留物检测、物品移除、场景变更、图像虚焦、人脸检测、客流统计等智能识别检测功能</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内置MIC/扬声器位于云台上，可跟随云台转动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具有友好密码功能，开启时同网段可使用出厂密码访问摄像机，关闭时同网段需使用复杂度为高的密码（至少8位，由大小写字母、数字和特殊字符组成）登陆和访问摄像机，提升安全性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支持网关ARP绑定功能：设备支持通过IE浏览器添加并绑定设备所在网段网关的MAC地址，当其他终端设备访问该设备时，若使用正确网关MAC地址时，则可以正常访问设备，若使用错误网关MAC地址，则不能访问设备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支持透雾、数字降噪、强光抑制与白平衡功能</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支持前端存储卡热插拔、支持最大400GB TF 卡</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外壳防护等级达到≥IP67，防暴等级IK10</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防雷≥6KV，温度-40～70℃，湿度≥90%</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支持POE供电，宽电压适应性DC12V±35%。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高清网络枪机</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采用≥1/2.8英寸逐行扫描200万像素图像传感器；焦距范围：4mm、6mm、8mm、12mm可选。支持POE。</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最低照度检验：彩色≤0.0005lx；黑白≤0.0001lx。</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分辨力≥1100线，亮度≥11级，信噪比≥60dB，照度适应范围：≥135dB。</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支持三码流功能，可同时输出主码流：1920×1080@30fps，2Mbps</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子码流：1280×720@30fps，1Mbps</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第三码流：352×288@30fps，1Mbps。</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在红外模式下，可识别距设备250m处人体轮廓。</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支持走廊模式、强光抑制、数字降噪、区域曝光、智能红外、场景变更、虚焦检测、感兴趣区域、区域遮盖等功能。</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支持在视频遮挡、存储器满、网络断开、IP冲突时，可给出报警提示。</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可支持内置数字证书，并支持采用数字证书对解码秘钥进行加密；启用视频内容保护功能后，视频码流中的解码秘钥应能够周期性动态变化。</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支持移动侦测功能：在设定的侦测区域内具有目标移动时，可在客户输出报警提示，最多可设置18×22个移动侦测区域。</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支持自动检测配置的FTP和Email参数下发是否正确并给出提示。</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支持通过IE浏览器或客户端软件设置身份验证模式，设置选项包括无、Basic和Digest三种。</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支持IP地址访问控制功能：允许/禁止模式下，只有添加到允许/禁止列表中的IP地址才能访问设备，允许/禁止列表最多可添加32个IP地址。</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具有同时输出两（多)路码流或存储一路的同时输出另一路在图像格式、压缩编码格式或压缩码率等参数上有所不同并可独立设置的视频码流的功能。</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具有8 行字符显示；颜色、描边、背景、空，心等样式可设置；叠加的OSD 可以在屏幕中滚动显示；可以叠加图片格式的OSD。</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设备支持添加并绑定设备所在网段网关的MAC地址，当其它终端设备访问设备时，若使用正确的网关MAC地址即设备绑定的MAC地址可以正常访问设备；当使用错误的网关MAC地址即不是设备绑定的MAC地址则不能访问设备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友好密码功能，设备启用友好密码功能策略时，与设备处于同一网段的地址可以使用设备出厂密码登录和访问设备，跨网段的地址只能使用复杂度为高的密码（至少8位，由大小写字母、数字和特殊字符组成）登录和访问设备；关闭友好密码功能策略时，与设备处于同一网段的地址和跨网段的地址都只能使用复杂度为高的密码登录和访问设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摄像机能够在-40～+70℃的环境下正常工作。</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高清网络枪机</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≥1/3英寸逐行扫描400万像素CMOS图像传感器，焦距范围：2.7～13.5mm，电动变焦。</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具有≥1个RJ45接口、≥1个音频输入接口、≥1个音频输出接口、≥1个报警输入接口、≥1个报警输出接口、≥1个TF卡槽，内置Mic，内置≥1个GPU芯片。</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最低照度：彩色≤0.0005lx；黑白≤0.0001lx。</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支持三码流功能：主码流：2592×1944@25fps，3Mbps</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子码流：1920×1080@30fps，2Mbps</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第三码流：704×576@30fps，1Mbps。</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动态范围≥105dB，水平分辨力≥1800TVL，亮度信噪比≥60dB。</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红外夜视距离≥100米。</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有人脸抓拍功能，可对经过设定区域的行人进行人脸检测和人脸跟踪，当检测到人脸后，可抓拍人脸图片，抓拍图片数量可设，可设置抓拍人脸小图；可通过IE浏览器开启或关闭人脸优选功能，开启后具有效果优先或速度优先设置选项。</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支持在视频遮挡、存储器满、非法访问、网络断开、IP冲突时给出报警提示。</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具有亮度、对比度、饱和度和锐度设置选项。</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具有宽动态自动切换功能，当环境亮度变化时，可自动开启/关闭宽动态。</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可支持内置数字证书，并支持采用数字证书对解码秘钥进行加密；解码密钥应能周期性变化。</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通过IE浏览器添加并绑定设备所在网段网关的MAC地址，当其它终端设备访问设备时，若使用正确的网关MAC地址即设备绑定的MAC地址则可以正常访问设备；当使用错误的网关MAC地址即不是设备绑定的MAC地址则不能访问设备。</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支持友好密码功能，与设备处于同一网段的地址可以使用出厂密码登录和访问设备，跨网段的地址只能使用复杂度为高的密码（至少8位，由大小写字母、数字和特殊字符组成）登录和访问设备。</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支持电源备份功能，同时采用DC12V和POE供电，当一路电源停止供电后，设备正常工作。</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电源电压在DC12V±35%范围内变化时，设备能正常工作。</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在工作环境-35～60℃下能正常工作。</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外壳防护能力≥IP68。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声光警戒筒机（带拾音器）</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1、≥1/3英寸逐行扫描400万像素CMOS图像传感器，镜头焦距4.0mm/6.0mm/8.0mm可选</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2、内置CPU/GPU/NPU 一体化芯片，具有不少于1个拾音器、≥1 个扬声器，≥1个RJ45 接口、≥1个音频输入接口、≥1个音频输出接口、≥1个报警输入接口、≥1个报警输出接口、≥1个SD 卡槽</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智能双光补光，红外</w:t>
            </w:r>
            <w:r>
              <w:rPr>
                <w:rFonts w:hint="eastAsia" w:ascii="宋体" w:hAnsi="宋体" w:cs="宋体"/>
                <w:i w:val="0"/>
                <w:iCs w:val="0"/>
                <w:color w:val="000000"/>
                <w:kern w:val="0"/>
                <w:sz w:val="24"/>
                <w:szCs w:val="24"/>
                <w:highlight w:val="none"/>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4、内嵌深度智能算法，可进行多种行为分析，且支持机非人检测</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5、最低照度：彩色≤0.0005lx；黑白：≤0. 0001lx</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6、区域增强(ROI)功能，提高低带宽网络环境下重点区域图像质量，支持自适应透雾，摄像机能根据雾霾严重程度，自适应调节透雾等级</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7、具有宽动态自动切换设置选项，在环境亮度变化时，可自动进行关闭／开启切换</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8、具有人脸抓拍功能，可对经过设定区域的行人进行人脸检测和人脸跟踪，当检测到人脸后，可抓拍人脸图片，抓拍图片数量可设， 可设置抓拍人脸小图</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9、通过IE 浏览器或客户端软件设置登录密码时，可自动提示所设密码的复杂度，包括高、中、低三种</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可通过IE浏览器添加并绑定设备所在网段网关的MAC地址，当其它终端设备访问设备时，若使用正确的网关MAC地址即设备绑定的MAC地址则可以正常访问设备；当使用错误的网关MAC地址即不是设备绑定的MAC地址则不能访问设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可支持内置数字证书，并支持采用数字证书对解码秘钥进行加密；视频码流中的解码密钥应能够周期性动态变化</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r>
              <w:rPr>
                <w:rFonts w:hint="eastAsia" w:ascii="宋体" w:hAnsi="宋体" w:eastAsia="宋体" w:cs="宋体"/>
                <w:i w:val="0"/>
                <w:iCs w:val="0"/>
                <w:color w:val="000000"/>
                <w:kern w:val="0"/>
                <w:sz w:val="24"/>
                <w:szCs w:val="24"/>
                <w:u w:val="none"/>
                <w:lang w:val="en-US" w:eastAsia="zh-CN" w:bidi="ar"/>
              </w:rPr>
              <w:t>12、可对监控区域内出现的单辆自行车、电瓶车、三轮车、机动车及行人进行抓拍</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13、具有双向语音对讲和单项语音广播功能</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14、宽温设计，温度范围-30℃~60℃</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15、防护等级≥IP66</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高清网络球机</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1、≥1/2.8英寸逐行扫描200万像素CMOS图像传感器，5~165 mm电动变焦，≥25倍光学变倍</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2、内置≥1个GPU芯片，具有不少于1个RJ45网络接口，≥1个CVBS接口，≥2个报警输入接口，≥1个报警输出接口，≥1个音频输入接口，≥1个音频输出接口，≥1个SD卡槽</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3、最低照度：彩色：≤0.0005lx，黑白：≤0.0001 lx；</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4、在同一静止场景、相同图像参数，开启高级模式与普通模式相比，码率节约90%；</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5、在设定的侦测区域内具有目标移动时，可在客户端给出报警提示，可同时支持18×22个区域移动侦测</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6、样机和客户端之间用300m网线连接，在客户端连续发送1000个数据包，重复测试3次，每次丢包数应小于1个</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7、可通过IE浏览器或客户端软件设置身份认证模式，包括无、Basic和Digest三种模式</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8、可支持内置数字证书，并支持采用数字证书对解码秘钥进行加密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9、启用视频内容保护功能后，视频码流中的解码秘钥能够周期性动态变化</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r>
              <w:rPr>
                <w:rFonts w:hint="eastAsia" w:ascii="宋体" w:hAnsi="宋体" w:eastAsia="宋体" w:cs="宋体"/>
                <w:i w:val="0"/>
                <w:iCs w:val="0"/>
                <w:color w:val="000000"/>
                <w:kern w:val="0"/>
                <w:sz w:val="24"/>
                <w:szCs w:val="24"/>
                <w:u w:val="none"/>
                <w:lang w:val="en-US" w:eastAsia="zh-CN" w:bidi="ar"/>
              </w:rPr>
              <w:t>10、可通过IE浏览器添加并绑定样机所在网段网关的MAC地址，当其它终端设备访问样机时，若使用正确的网关MAC地址即样机绑定的MAC地址则可以正常访问样机；当使用错误的网关MAC地址即不是样机绑定的MAC地址则不能访问样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11、通过红外补光，可识别距样机400m处的目标</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12、支持行为分析触发后联动聚焦、目标跟踪、报警上传，发送邮件，联动录像，辅助输出等多种报警触发方式，支持联动目标跟踪</w:t>
            </w:r>
            <w:r>
              <w:rPr>
                <w:rFonts w:hint="eastAsia" w:ascii="宋体" w:hAnsi="宋体" w:cs="宋体"/>
                <w:i w:val="0"/>
                <w:iCs w:val="0"/>
                <w:color w:val="000000"/>
                <w:kern w:val="0"/>
                <w:sz w:val="24"/>
                <w:szCs w:val="24"/>
                <w:u w:val="none"/>
                <w:lang w:val="en-US" w:eastAsia="zh-CN" w:bidi="ar"/>
              </w:rPr>
              <w:t>。</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13、具有8行字符显示，字体可设置为32×32像素、48×48像素、64×64像素、72×72像素、96×96像素、128×128像素等模式；字体颜色、描边、背景、空心等</w:t>
            </w:r>
            <w:r>
              <w:rPr>
                <w:rFonts w:hint="eastAsia" w:ascii="宋体" w:hAnsi="宋体" w:eastAsia="宋体" w:cs="宋体"/>
                <w:i w:val="0"/>
                <w:iCs w:val="0"/>
                <w:color w:val="000000"/>
                <w:kern w:val="0"/>
                <w:sz w:val="24"/>
                <w:szCs w:val="24"/>
                <w:highlight w:val="none"/>
                <w:u w:val="none"/>
                <w:lang w:val="en-US" w:eastAsia="zh-CN" w:bidi="ar"/>
              </w:rPr>
              <w:t>样式可设置叠加的OSD可以在屏幕中滚动显示</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可以叠加图片格式的OSD</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b/>
                <w:bCs/>
                <w:i w:val="0"/>
                <w:iCs w:val="0"/>
                <w:color w:val="000000"/>
                <w:kern w:val="0"/>
                <w:sz w:val="24"/>
                <w:szCs w:val="24"/>
                <w:highlight w:val="none"/>
                <w:u w:val="none"/>
                <w:lang w:val="en-US" w:eastAsia="zh-CN" w:bidi="ar"/>
              </w:rPr>
              <w:t>（须提供国家认可的质量检测机构出具的检测报告。）</w:t>
            </w:r>
          </w:p>
          <w:p>
            <w:pPr>
              <w:keepNext/>
              <w:keepLines/>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14、防护等级：≥IP67</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红外高清球机</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采用≥1/1.8</w:t>
            </w:r>
            <w:r>
              <w:rPr>
                <w:rFonts w:hint="eastAsia" w:ascii="宋体" w:hAnsi="宋体" w:cs="宋体"/>
                <w:i w:val="0"/>
                <w:iCs w:val="0"/>
                <w:color w:val="000000"/>
                <w:kern w:val="0"/>
                <w:sz w:val="24"/>
                <w:szCs w:val="24"/>
                <w:u w:val="none"/>
                <w:lang w:val="en-US" w:eastAsia="zh-CN" w:bidi="ar"/>
              </w:rPr>
              <w:t>英寸</w:t>
            </w:r>
            <w:r>
              <w:rPr>
                <w:rFonts w:hint="eastAsia" w:ascii="宋体" w:hAnsi="宋体" w:eastAsia="宋体" w:cs="宋体"/>
                <w:i w:val="0"/>
                <w:iCs w:val="0"/>
                <w:color w:val="000000"/>
                <w:kern w:val="0"/>
                <w:sz w:val="24"/>
                <w:szCs w:val="24"/>
                <w:u w:val="none"/>
                <w:lang w:val="en-US" w:eastAsia="zh-CN" w:bidi="ar"/>
              </w:rPr>
              <w:t>逐行扫描≥400万像素CMOS图像传感器，焦距范围：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6-198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mm，≥33倍光学变倍</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具有不少于1个RJ45接口、≥1个音频输入接口、≥1个音频输出接口、≥1个SD卡槽、≥1个BNC接口，≥2个报警输入接口、≥1个报警输出接口。</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图像分辨率最高≥2560×1440@30fps，水平解像力≥1400TVL，亮度等级≥11级，亮度信号信噪比≥60dB，动态范围检验≥106dB，网络延时≤120ms。</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最低照度彩色：≤0.001lx，黑白：≤0.0001lx。</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支持红外灯补光，红外补光灯可定时或自动开启，开启后可识别距离样机≥400m处人体（1.7m×0.5m）轮廓。</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支持SD卡热插拔， SD卡中图片和录像分区域存放，录像文件可通过指定客户端软件进行播放，最大支持256GB SD卡。</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支持电子罗盘，实时感知摄像机的位置、方向、俯仰角度等，并配合后端，实现动态可视域监控</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在IE浏览器下，具有光学透雾设置选项，可设置自动、关闭、开启三种模式；透雾等级1-9级可调；当样机检测到雾浓度达到设定的阈值时,可自动在数字透雾和光学透雾之间进行切换。</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在同一静止场景、相同图像参数，样机开启高级模式与普通模式相比，码率节约90%。</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水平范围：360°；水平速度0.1°/s~240°/s；预置位速度：300°/s，垂直范围：-15°~90°(自动翻转)；垂直速度：0.1°~160°/s；预置位速度：240°/s</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设备支持区域入侵、停车检测、越界检测、人员聚集、进入区域、离开区域、快速移动、物品搬移、物品遗留、徘徊检测等智能分析行为达到设定的阈值时，给出报警提示，支持行为分析触发后联动聚集，目标跟踪、报警上传，发送邮件，联动录像、辅助输出等多种报警触发方式；支持联动目标跟踪。</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可通过IE浏览器或客户端软件设置身份认证模式，包括无、Basic和Digest三种模式。</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当触发报警时，视频帧率应自动调整至设定值，设定范围1/16~30fps。</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设备可分别对在监视画面中进入和离开的人数进行统计，可通过IE浏览器配置进入、离开人数报警阈值，并可在监视画面上显示当前统计人数，当人数超过设定阈值时可上报平台。</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可叠加8行字符，字体可设置为32×32像素、48×48像素、64×64像素、72×72像素、96×96像素、128×128像素模式，字体颜色、描边、背景、空心等可设置，叠加字符可在屏幕中滚动显示；可叠加图片格式的OSD。</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启用友好密码功能策略时，与样机处于同一网段的地址可以使用样机出厂密码登录和访问样机；跨网段的地址只能使用复杂度为高的密码（至少8位，由大小写字母、数字和特殊字符组成）登录和访问样机。</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支持帧率动态控制功能，当监视画面无运动物体时视频帧率自动调整到最低设定值；当检测到有运动物体时，视频录像帧率自动调整至最高设定值。</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通过提取样机通信网络数据包方式获得的经过数字随机混淆处理的视频码流无法正常播放。</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可支持内置数字证书，并支持采用数字证书对解码秘钥进行加密。</w:t>
            </w:r>
            <w:r>
              <w:rPr>
                <w:rFonts w:hint="eastAsia" w:ascii="宋体" w:hAnsi="宋体" w:eastAsia="宋体" w:cs="宋体"/>
                <w:b/>
                <w:bCs/>
                <w:i w:val="0"/>
                <w:iCs w:val="0"/>
                <w:color w:val="000000"/>
                <w:kern w:val="0"/>
                <w:sz w:val="24"/>
                <w:szCs w:val="24"/>
                <w:u w:val="none"/>
                <w:lang w:val="en-US" w:eastAsia="zh-CN" w:bidi="ar"/>
              </w:rPr>
              <w:t>（须提供国家认可的质量检测机构出具的检测报告。）</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设备防护等级IP68，工作环境温度-40℃~65℃。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筒机支架</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球机支架</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拾音器</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1、拾音范围：5-40平方米</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2、音频传输距离：200米</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3、灵敏度：-43</w:t>
            </w:r>
            <w:r>
              <w:rPr>
                <w:rFonts w:hint="eastAsia"/>
                <w:highlight w:val="none"/>
                <w:lang w:val="en-US" w:eastAsia="zh-CN"/>
              </w:rPr>
              <w:t>dB</w:t>
            </w:r>
            <w:r>
              <w:rPr>
                <w:rFonts w:hint="eastAsia" w:ascii="宋体" w:hAnsi="宋体" w:cs="宋体"/>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4、频率响应：20Hz～20KHz</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5、指向特性：全指向性</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6、信噪比：58dB</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7、动态范围：74B(1KHz at Max dB SPL)</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8、最大承受音压：11dB SPL（1KHz，THD≤1%）</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9、输出阻抗：600欧姆非平衡</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10、输出信号幅度：2.5Vpp/81dBSPL</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11、麦克风：全向麦克风</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12、信号处理电路：采用高保真/低噪声处理芯片</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13、保护电路：8KV Air contact ESD、雷击保护、电源极性反接保护</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14、驱动能力：支持内置前置放大电路，可直接驱动耳机</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15、连接方式：支持1个3.5mm音频接口，2条引线</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16、传输线缆：3芯0.5mm²RVVP屏蔽电缆</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17、电源电压：直流稳压电源DC 12V</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（9V--15V）</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5V1A电源</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支持各厂家监控摄像机，符合国家强制标准</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12V3.3A电源</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支持各厂家监控摄像机，符合国家强制标准</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12V开关电源</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DC12V，支持各厂家监控摄像机，符合国家强制标准</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24V球机电源</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AC24V，支持各厂家监控摄像机，符合国家强制标准</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门禁信号线</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RVV5*0.75，符合国家强制标准</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1个10/100/1000Mbps自适应RJ45电口，1个1000Mbps SC光口，最大传输距离3kM，非网管型光纤收发器，与RG-FC11G-3B或者RG-FC14G-3B配套使用，可配合RG-FCR14收发器机架使用。</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六类网络面板+模块双口</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六类网络面板+模块，符合国家强制标准</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网络线（超五类）</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w:t>
            </w:r>
            <w:r>
              <w:rPr>
                <w:rFonts w:hint="eastAsia" w:ascii="宋体" w:hAnsi="宋体" w:cs="宋体"/>
                <w:i w:val="0"/>
                <w:iCs w:val="0"/>
                <w:color w:val="000000"/>
                <w:kern w:val="0"/>
                <w:sz w:val="24"/>
                <w:szCs w:val="24"/>
                <w:highlight w:val="none"/>
                <w:u w:val="none"/>
                <w:lang w:val="en-US" w:eastAsia="zh-CN" w:bidi="ar"/>
              </w:rPr>
              <w:t>五</w:t>
            </w:r>
            <w:r>
              <w:rPr>
                <w:rFonts w:hint="eastAsia" w:ascii="宋体" w:hAnsi="宋体" w:eastAsia="宋体" w:cs="宋体"/>
                <w:i w:val="0"/>
                <w:iCs w:val="0"/>
                <w:color w:val="000000"/>
                <w:kern w:val="0"/>
                <w:sz w:val="24"/>
                <w:szCs w:val="24"/>
                <w:highlight w:val="none"/>
                <w:u w:val="none"/>
                <w:lang w:val="en-US" w:eastAsia="zh-CN" w:bidi="ar"/>
              </w:rPr>
              <w:t>类网线305米，符合国家强制标准</w:t>
            </w:r>
            <w:r>
              <w:rPr>
                <w:rFonts w:hint="eastAsia" w:ascii="宋体" w:hAnsi="宋体" w:cs="宋体"/>
                <w:i w:val="0"/>
                <w:iCs w:val="0"/>
                <w:color w:val="000000"/>
                <w:kern w:val="0"/>
                <w:sz w:val="24"/>
                <w:szCs w:val="24"/>
                <w:highlight w:val="none"/>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网络线（超六类）</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超六类网线305米，符合国家强制标准</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RVV2*1.0，符合国家强制标准</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RVV3*1.5，符合国家强制标准</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PVC线管</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20mm，符合国家强制标准</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PVC线管</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25mm，符合国家强制标准</w:t>
            </w:r>
            <w:r>
              <w:rPr>
                <w:rFonts w:hint="eastAsia" w:ascii="宋体" w:hAnsi="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bl>
    <w:p>
      <w:pPr>
        <w:keepNext w:val="0"/>
        <w:keepLines w:val="0"/>
        <w:pageBreakBefore w:val="0"/>
        <w:kinsoku/>
        <w:wordWrap/>
        <w:overflowPunct/>
        <w:topLinePunct w:val="0"/>
        <w:autoSpaceDE/>
        <w:autoSpaceDN/>
        <w:bidi w:val="0"/>
        <w:snapToGrid/>
        <w:spacing w:line="400" w:lineRule="exact"/>
        <w:ind w:firstLine="481"/>
        <w:textAlignment w:val="auto"/>
        <w:rPr>
          <w:rFonts w:ascii="宋体" w:hAnsi="宋体"/>
          <w:b/>
          <w:bCs/>
          <w:sz w:val="24"/>
          <w:szCs w:val="24"/>
        </w:rPr>
      </w:pPr>
      <w:r>
        <w:rPr>
          <w:rFonts w:hint="eastAsia" w:ascii="宋体" w:hAnsi="宋体"/>
          <w:b/>
          <w:bCs/>
          <w:sz w:val="24"/>
          <w:szCs w:val="24"/>
        </w:rPr>
        <w:t>（三）商务条件</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left="470" w:leftChars="224"/>
        <w:textAlignment w:val="auto"/>
        <w:rPr>
          <w:rStyle w:val="23"/>
          <w:rFonts w:hint="eastAsia" w:ascii="宋体" w:hAnsi="宋体" w:eastAsia="宋体" w:cs="宋体"/>
          <w:b w:val="0"/>
          <w:bCs/>
          <w:lang w:eastAsia="zh-CN"/>
        </w:rPr>
      </w:pPr>
      <w:r>
        <w:rPr>
          <w:rStyle w:val="23"/>
          <w:rFonts w:hint="eastAsia" w:ascii="宋体" w:hAnsi="宋体" w:cs="宋体"/>
        </w:rPr>
        <w:t>1、交付地点：</w:t>
      </w:r>
      <w:r>
        <w:rPr>
          <w:rStyle w:val="23"/>
          <w:rFonts w:hint="eastAsia" w:ascii="宋体" w:hAnsi="宋体" w:cs="宋体"/>
          <w:b w:val="0"/>
          <w:bCs/>
          <w:lang w:eastAsia="zh-CN"/>
        </w:rPr>
        <w:t>福建省福清监狱</w:t>
      </w:r>
      <w:r>
        <w:rPr>
          <w:rStyle w:val="23"/>
          <w:rFonts w:hint="eastAsia" w:ascii="宋体" w:hAnsi="宋体" w:cs="宋体"/>
          <w:b w:val="0"/>
          <w:bCs/>
        </w:rPr>
        <w:t>指定地点（具体地址以签订合同为准）。</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left="470" w:leftChars="224"/>
        <w:textAlignment w:val="auto"/>
        <w:rPr>
          <w:rStyle w:val="23"/>
          <w:rFonts w:hint="eastAsia" w:ascii="宋体" w:hAnsi="宋体" w:eastAsia="宋体" w:cs="宋体"/>
          <w:b w:val="0"/>
          <w:bCs/>
          <w:highlight w:val="none"/>
          <w:lang w:eastAsia="zh-CN"/>
        </w:rPr>
      </w:pPr>
      <w:r>
        <w:rPr>
          <w:rStyle w:val="23"/>
          <w:rFonts w:hint="eastAsia" w:ascii="宋体" w:hAnsi="宋体" w:cs="宋体"/>
        </w:rPr>
        <w:t>2、</w:t>
      </w:r>
      <w:r>
        <w:rPr>
          <w:rStyle w:val="23"/>
          <w:rFonts w:hint="eastAsia" w:ascii="宋体" w:hAnsi="宋体" w:cs="宋体"/>
          <w:lang w:val="en-US" w:eastAsia="zh-CN"/>
        </w:rPr>
        <w:t>服务期限</w:t>
      </w:r>
      <w:r>
        <w:rPr>
          <w:rStyle w:val="23"/>
          <w:rFonts w:hint="eastAsia" w:ascii="宋体" w:hAnsi="宋体" w:cs="宋体"/>
          <w:highlight w:val="none"/>
        </w:rPr>
        <w:t>：</w:t>
      </w:r>
      <w:r>
        <w:rPr>
          <w:rStyle w:val="23"/>
          <w:rFonts w:hint="eastAsia" w:ascii="宋体" w:hAnsi="宋体" w:cs="宋体"/>
          <w:b w:val="0"/>
          <w:bCs/>
          <w:highlight w:val="none"/>
          <w:lang w:val="en-US" w:eastAsia="zh-CN"/>
        </w:rPr>
        <w:t>一年</w:t>
      </w:r>
      <w:r>
        <w:rPr>
          <w:rStyle w:val="23"/>
          <w:rFonts w:hint="eastAsia" w:ascii="宋体" w:hAnsi="宋体" w:cs="宋体"/>
          <w:b w:val="0"/>
          <w:bCs/>
          <w:highlight w:val="none"/>
        </w:rPr>
        <w:t>。</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left="470" w:leftChars="224"/>
        <w:textAlignment w:val="auto"/>
        <w:rPr>
          <w:rStyle w:val="23"/>
          <w:rFonts w:hint="eastAsia" w:ascii="宋体" w:hAnsi="宋体" w:eastAsia="宋体" w:cs="宋体"/>
          <w:b w:val="0"/>
          <w:bCs/>
          <w:highlight w:val="none"/>
          <w:lang w:eastAsia="zh-CN"/>
        </w:rPr>
      </w:pPr>
      <w:r>
        <w:rPr>
          <w:rStyle w:val="23"/>
          <w:rFonts w:hint="eastAsia" w:ascii="宋体" w:hAnsi="宋体" w:cs="宋体"/>
          <w:highlight w:val="none"/>
        </w:rPr>
        <w:t>3、交付条件：</w:t>
      </w:r>
      <w:r>
        <w:rPr>
          <w:rStyle w:val="23"/>
          <w:rFonts w:hint="eastAsia" w:ascii="宋体" w:hAnsi="宋体" w:cs="宋体"/>
          <w:b w:val="0"/>
          <w:bCs/>
          <w:highlight w:val="none"/>
        </w:rPr>
        <w:t>验收合格后。</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firstLine="472" w:firstLineChars="196"/>
        <w:textAlignment w:val="auto"/>
        <w:rPr>
          <w:rStyle w:val="23"/>
          <w:rFonts w:hint="eastAsia" w:ascii="宋体" w:hAnsi="宋体" w:cs="宋体"/>
          <w:b w:val="0"/>
          <w:bCs/>
          <w:highlight w:val="none"/>
        </w:rPr>
      </w:pPr>
      <w:r>
        <w:rPr>
          <w:rStyle w:val="23"/>
          <w:rFonts w:hint="eastAsia" w:ascii="宋体" w:hAnsi="宋体" w:cs="宋体"/>
          <w:b/>
          <w:bCs w:val="0"/>
          <w:highlight w:val="none"/>
        </w:rPr>
        <w:t>4、是否收取履约保证金：</w:t>
      </w:r>
      <w:r>
        <w:rPr>
          <w:rStyle w:val="23"/>
          <w:rFonts w:hint="eastAsia" w:ascii="宋体" w:hAnsi="宋体" w:cs="宋体"/>
          <w:b w:val="0"/>
          <w:bCs/>
          <w:highlight w:val="none"/>
          <w:lang w:val="en-US" w:eastAsia="zh-CN"/>
        </w:rPr>
        <w:t>是。</w:t>
      </w:r>
      <w:r>
        <w:rPr>
          <w:rStyle w:val="23"/>
          <w:rFonts w:hint="eastAsia" w:ascii="宋体" w:hAnsi="宋体" w:cs="宋体"/>
          <w:b w:val="0"/>
          <w:bCs/>
          <w:highlight w:val="none"/>
        </w:rPr>
        <w:t>履约保证金百分比：5%。说明：成交</w:t>
      </w:r>
      <w:r>
        <w:rPr>
          <w:rStyle w:val="23"/>
          <w:rFonts w:hint="eastAsia" w:ascii="宋体" w:hAnsi="宋体" w:cs="宋体"/>
          <w:b w:val="0"/>
          <w:bCs/>
          <w:highlight w:val="none"/>
          <w:lang w:val="en-US" w:eastAsia="zh-CN"/>
        </w:rPr>
        <w:t>供应商</w:t>
      </w:r>
      <w:r>
        <w:rPr>
          <w:rStyle w:val="23"/>
          <w:rFonts w:hint="eastAsia" w:ascii="宋体" w:hAnsi="宋体" w:cs="宋体"/>
          <w:b w:val="0"/>
          <w:bCs/>
          <w:highlight w:val="none"/>
        </w:rPr>
        <w:t>在签订采购合同前应向采购人缴纳预算总金额的5%作为履约保证金，该履约保证金于合同约定全部事项履行完毕后且成交</w:t>
      </w:r>
      <w:r>
        <w:rPr>
          <w:rStyle w:val="23"/>
          <w:rFonts w:hint="eastAsia" w:ascii="宋体" w:hAnsi="宋体" w:cs="宋体"/>
          <w:b w:val="0"/>
          <w:bCs/>
          <w:highlight w:val="none"/>
          <w:lang w:val="en-US" w:eastAsia="zh-CN"/>
        </w:rPr>
        <w:t>供应商</w:t>
      </w:r>
      <w:r>
        <w:rPr>
          <w:rStyle w:val="23"/>
          <w:rFonts w:hint="eastAsia" w:ascii="宋体" w:hAnsi="宋体" w:cs="宋体"/>
          <w:b w:val="0"/>
          <w:bCs/>
          <w:highlight w:val="none"/>
        </w:rPr>
        <w:t>无违约的前提下无息退还。如属于小微企业，收取预算总金额3%作为履约保证金。</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left="470" w:leftChars="224"/>
        <w:textAlignment w:val="auto"/>
        <w:rPr>
          <w:rStyle w:val="23"/>
          <w:rFonts w:hint="eastAsia" w:ascii="宋体" w:hAnsi="宋体" w:cs="宋体"/>
        </w:rPr>
      </w:pPr>
      <w:r>
        <w:rPr>
          <w:rStyle w:val="23"/>
          <w:rFonts w:hint="eastAsia" w:ascii="宋体" w:hAnsi="宋体" w:cs="宋体"/>
        </w:rPr>
        <w:t>5、是否邀请供应商参与验收：</w:t>
      </w:r>
      <w:r>
        <w:rPr>
          <w:rStyle w:val="23"/>
          <w:rFonts w:hint="eastAsia" w:ascii="宋体" w:hAnsi="宋体" w:cs="宋体"/>
          <w:b w:val="0"/>
          <w:bCs/>
        </w:rPr>
        <w:t>否</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firstLine="472" w:firstLineChars="196"/>
        <w:textAlignment w:val="auto"/>
        <w:rPr>
          <w:rStyle w:val="23"/>
          <w:rFonts w:hint="eastAsia" w:ascii="宋体" w:hAnsi="宋体" w:cs="宋体"/>
          <w:b w:val="0"/>
          <w:bCs/>
          <w:highlight w:val="none"/>
        </w:rPr>
      </w:pPr>
      <w:r>
        <w:rPr>
          <w:rStyle w:val="23"/>
          <w:rFonts w:hint="eastAsia" w:ascii="宋体" w:hAnsi="宋体" w:cs="宋体"/>
          <w:lang w:val="en-US" w:eastAsia="zh-CN"/>
        </w:rPr>
        <w:t>6、付款方式：</w:t>
      </w:r>
      <w:r>
        <w:rPr>
          <w:rStyle w:val="23"/>
          <w:rFonts w:hint="eastAsia" w:ascii="宋体" w:hAnsi="宋体" w:cs="宋体"/>
          <w:b w:val="0"/>
          <w:bCs/>
          <w:highlight w:val="none"/>
        </w:rPr>
        <w:t>按实供货物和服务次数按实结算，</w:t>
      </w:r>
      <w:r>
        <w:rPr>
          <w:rStyle w:val="23"/>
          <w:rFonts w:hint="eastAsia" w:ascii="宋体" w:hAnsi="宋体" w:cs="宋体"/>
          <w:b w:val="0"/>
          <w:bCs/>
          <w:highlight w:val="none"/>
          <w:lang w:val="en-US" w:eastAsia="zh-CN"/>
        </w:rPr>
        <w:t>成交供应商</w:t>
      </w:r>
      <w:r>
        <w:rPr>
          <w:rStyle w:val="23"/>
          <w:rFonts w:hint="eastAsia" w:ascii="宋体" w:hAnsi="宋体" w:cs="宋体"/>
          <w:b w:val="0"/>
          <w:bCs/>
          <w:highlight w:val="none"/>
        </w:rPr>
        <w:t>送货完毕并经</w:t>
      </w:r>
      <w:r>
        <w:rPr>
          <w:rStyle w:val="23"/>
          <w:rFonts w:hint="eastAsia" w:ascii="宋体" w:hAnsi="宋体" w:cs="宋体"/>
          <w:b w:val="0"/>
          <w:bCs/>
          <w:highlight w:val="none"/>
          <w:lang w:eastAsia="zh-CN"/>
        </w:rPr>
        <w:t>福清监狱</w:t>
      </w:r>
      <w:r>
        <w:rPr>
          <w:rStyle w:val="23"/>
          <w:rFonts w:hint="eastAsia" w:ascii="宋体" w:hAnsi="宋体" w:cs="宋体"/>
          <w:b w:val="0"/>
          <w:bCs/>
          <w:highlight w:val="none"/>
        </w:rPr>
        <w:t>验收合格设备正常运行后，由</w:t>
      </w:r>
      <w:r>
        <w:rPr>
          <w:rStyle w:val="23"/>
          <w:rFonts w:hint="eastAsia" w:ascii="宋体" w:hAnsi="宋体" w:cs="宋体"/>
          <w:b w:val="0"/>
          <w:bCs/>
          <w:highlight w:val="none"/>
          <w:lang w:val="en-US" w:eastAsia="zh-CN"/>
        </w:rPr>
        <w:t>成交供应商</w:t>
      </w:r>
      <w:r>
        <w:rPr>
          <w:rStyle w:val="23"/>
          <w:rFonts w:hint="eastAsia" w:ascii="宋体" w:hAnsi="宋体" w:cs="宋体"/>
          <w:b w:val="0"/>
          <w:bCs/>
          <w:highlight w:val="none"/>
        </w:rPr>
        <w:t>及时开具合法有效的等额增值税普通发票及相关材料，</w:t>
      </w:r>
      <w:r>
        <w:rPr>
          <w:rStyle w:val="23"/>
          <w:rFonts w:hint="eastAsia" w:ascii="宋体" w:hAnsi="宋体" w:cs="宋体"/>
          <w:b w:val="0"/>
          <w:bCs/>
          <w:highlight w:val="none"/>
          <w:lang w:eastAsia="zh-CN"/>
        </w:rPr>
        <w:t>福清监狱</w:t>
      </w:r>
      <w:r>
        <w:rPr>
          <w:rStyle w:val="23"/>
          <w:rFonts w:hint="eastAsia" w:ascii="宋体" w:hAnsi="宋体" w:cs="宋体"/>
          <w:b w:val="0"/>
          <w:bCs/>
          <w:highlight w:val="none"/>
        </w:rPr>
        <w:t>在收到</w:t>
      </w:r>
      <w:r>
        <w:rPr>
          <w:rStyle w:val="23"/>
          <w:rFonts w:hint="eastAsia" w:ascii="宋体" w:hAnsi="宋体" w:cs="宋体"/>
          <w:b w:val="0"/>
          <w:bCs/>
          <w:highlight w:val="none"/>
          <w:lang w:val="en-US" w:eastAsia="zh-CN"/>
        </w:rPr>
        <w:t>成交供应商</w:t>
      </w:r>
      <w:r>
        <w:rPr>
          <w:rStyle w:val="23"/>
          <w:rFonts w:hint="eastAsia" w:ascii="宋体" w:hAnsi="宋体" w:cs="宋体"/>
          <w:b w:val="0"/>
          <w:bCs/>
          <w:highlight w:val="none"/>
        </w:rPr>
        <w:t>合法有效的相同金额增值税普通发票后，及时办理</w:t>
      </w:r>
      <w:r>
        <w:rPr>
          <w:rStyle w:val="23"/>
          <w:rFonts w:hint="eastAsia" w:ascii="宋体" w:hAnsi="宋体" w:cs="宋体"/>
          <w:b w:val="0"/>
          <w:bCs/>
          <w:highlight w:val="none"/>
          <w:lang w:eastAsia="zh-CN"/>
        </w:rPr>
        <w:t>报销手续并</w:t>
      </w:r>
      <w:r>
        <w:rPr>
          <w:rStyle w:val="23"/>
          <w:rFonts w:hint="eastAsia" w:ascii="宋体" w:hAnsi="宋体" w:cs="宋体"/>
          <w:b w:val="0"/>
          <w:bCs/>
          <w:highlight w:val="none"/>
        </w:rPr>
        <w:t>将结算价款汇入合同中约定的</w:t>
      </w:r>
      <w:r>
        <w:rPr>
          <w:rStyle w:val="23"/>
          <w:rFonts w:hint="eastAsia" w:ascii="宋体" w:hAnsi="宋体" w:cs="宋体"/>
          <w:b w:val="0"/>
          <w:bCs/>
          <w:highlight w:val="none"/>
          <w:lang w:val="en-US" w:eastAsia="zh-CN"/>
        </w:rPr>
        <w:t>成交供应商</w:t>
      </w:r>
      <w:r>
        <w:rPr>
          <w:rStyle w:val="23"/>
          <w:rFonts w:hint="eastAsia" w:ascii="宋体" w:hAnsi="宋体" w:cs="宋体"/>
          <w:b w:val="0"/>
          <w:bCs/>
          <w:highlight w:val="none"/>
        </w:rPr>
        <w:t>账户。如成交供应商不提供上述发票或提供发票不合格，采购人顺延付款期限且不承担任何责任。</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firstLine="472" w:firstLineChars="196"/>
        <w:textAlignment w:val="auto"/>
        <w:rPr>
          <w:rStyle w:val="23"/>
          <w:rFonts w:hint="eastAsia" w:ascii="宋体" w:hAnsi="宋体" w:cs="宋体"/>
          <w:lang w:val="en-US" w:eastAsia="zh-CN"/>
        </w:rPr>
      </w:pPr>
      <w:r>
        <w:rPr>
          <w:rStyle w:val="23"/>
          <w:rFonts w:hint="eastAsia" w:ascii="宋体" w:hAnsi="宋体" w:cs="宋体"/>
          <w:lang w:val="en-US" w:eastAsia="zh-CN"/>
        </w:rPr>
        <w:t>7、质量要求、技术标准和验收条件</w:t>
      </w:r>
    </w:p>
    <w:p>
      <w:pPr>
        <w:keepNext w:val="0"/>
        <w:keepLines w:val="0"/>
        <w:pageBreakBefore w:val="0"/>
        <w:kinsoku/>
        <w:wordWrap/>
        <w:overflowPunct/>
        <w:topLinePunct w:val="0"/>
        <w:autoSpaceDE/>
        <w:autoSpaceDN/>
        <w:bidi w:val="0"/>
        <w:snapToGrid/>
        <w:spacing w:line="400" w:lineRule="exact"/>
        <w:ind w:firstLine="482" w:firstLineChars="200"/>
        <w:jc w:val="left"/>
        <w:textAlignment w:val="auto"/>
        <w:rPr>
          <w:rFonts w:hint="eastAsia" w:ascii="宋体" w:hAnsi="宋体" w:eastAsia="宋体" w:cs="宋体"/>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1质量要求：</w:t>
      </w:r>
      <w:r>
        <w:rPr>
          <w:rFonts w:hint="eastAsia" w:ascii="宋体" w:hAnsi="宋体" w:cs="宋体"/>
          <w:sz w:val="24"/>
          <w:szCs w:val="24"/>
          <w:lang w:eastAsia="zh-CN"/>
        </w:rPr>
        <w:t>成交供应商</w:t>
      </w:r>
      <w:r>
        <w:rPr>
          <w:rFonts w:hint="eastAsia" w:ascii="宋体" w:hAnsi="宋体" w:eastAsia="宋体" w:cs="宋体"/>
          <w:sz w:val="24"/>
          <w:szCs w:val="24"/>
        </w:rPr>
        <w:t>所提供的货物必须是原厂原包装，质量必须符合现行国家标准或行业标准以及原厂出厂标准（以说明书为准），对于有强制性标准的必须使用强制性标准。对于质量要求不明确的，按照强制性国家标准履行；没有强制性国家标准的，按照推荐性国家标准履行；没有推荐性国家标准的，按照行业标准履行；没有国家标准、行业标准的，按照通常标准或者符合合同目的的特定标准履行。除此之外，</w:t>
      </w:r>
      <w:r>
        <w:rPr>
          <w:rFonts w:hint="eastAsia" w:ascii="宋体" w:hAnsi="宋体" w:eastAsia="宋体" w:cs="宋体"/>
          <w:sz w:val="24"/>
          <w:szCs w:val="24"/>
          <w:lang w:eastAsia="zh-CN"/>
        </w:rPr>
        <w:t>福清监狱</w:t>
      </w:r>
      <w:r>
        <w:rPr>
          <w:rFonts w:hint="eastAsia" w:ascii="宋体" w:hAnsi="宋体" w:eastAsia="宋体" w:cs="宋体"/>
          <w:sz w:val="24"/>
          <w:szCs w:val="24"/>
        </w:rPr>
        <w:t>有要求的，</w:t>
      </w:r>
      <w:r>
        <w:rPr>
          <w:rFonts w:hint="eastAsia" w:ascii="宋体" w:hAnsi="宋体" w:cs="宋体"/>
          <w:sz w:val="24"/>
          <w:szCs w:val="24"/>
          <w:lang w:eastAsia="zh-CN"/>
        </w:rPr>
        <w:t>成交供应商</w:t>
      </w:r>
      <w:r>
        <w:rPr>
          <w:rFonts w:hint="eastAsia" w:ascii="宋体" w:hAnsi="宋体" w:eastAsia="宋体" w:cs="宋体"/>
          <w:sz w:val="24"/>
          <w:szCs w:val="24"/>
        </w:rPr>
        <w:t>的货物质量还须符合</w:t>
      </w:r>
      <w:r>
        <w:rPr>
          <w:rFonts w:hint="eastAsia" w:ascii="宋体" w:hAnsi="宋体" w:eastAsia="宋体" w:cs="宋体"/>
          <w:sz w:val="24"/>
          <w:szCs w:val="24"/>
          <w:lang w:eastAsia="zh-CN"/>
        </w:rPr>
        <w:t>福清监狱</w:t>
      </w:r>
      <w:r>
        <w:rPr>
          <w:rFonts w:hint="eastAsia" w:ascii="宋体" w:hAnsi="宋体" w:eastAsia="宋体" w:cs="宋体"/>
          <w:sz w:val="24"/>
          <w:szCs w:val="24"/>
        </w:rPr>
        <w:t>的要求条件，如货物不符合本合同中约定的要求，</w:t>
      </w:r>
      <w:r>
        <w:rPr>
          <w:rFonts w:hint="eastAsia" w:ascii="宋体" w:hAnsi="宋体" w:eastAsia="宋体" w:cs="宋体"/>
          <w:sz w:val="24"/>
          <w:szCs w:val="24"/>
          <w:lang w:eastAsia="zh-CN"/>
        </w:rPr>
        <w:t>福清监狱</w:t>
      </w:r>
      <w:r>
        <w:rPr>
          <w:rFonts w:hint="eastAsia" w:ascii="宋体" w:hAnsi="宋体" w:eastAsia="宋体" w:cs="宋体"/>
          <w:sz w:val="24"/>
          <w:szCs w:val="24"/>
        </w:rPr>
        <w:t>有权拒绝接受，</w:t>
      </w:r>
      <w:r>
        <w:rPr>
          <w:rFonts w:hint="eastAsia" w:ascii="宋体" w:hAnsi="宋体" w:cs="宋体"/>
          <w:sz w:val="24"/>
          <w:szCs w:val="24"/>
          <w:lang w:eastAsia="zh-CN"/>
        </w:rPr>
        <w:t>成交供应商</w:t>
      </w:r>
      <w:r>
        <w:rPr>
          <w:rFonts w:hint="eastAsia" w:ascii="宋体" w:hAnsi="宋体" w:eastAsia="宋体" w:cs="宋体"/>
          <w:sz w:val="24"/>
          <w:szCs w:val="24"/>
        </w:rPr>
        <w:t>还需承担因此所造成的</w:t>
      </w:r>
      <w:r>
        <w:rPr>
          <w:rFonts w:hint="eastAsia" w:ascii="宋体" w:hAnsi="宋体" w:eastAsia="宋体" w:cs="宋体"/>
          <w:sz w:val="24"/>
          <w:szCs w:val="24"/>
          <w:lang w:eastAsia="zh-CN"/>
        </w:rPr>
        <w:t>福清监狱</w:t>
      </w:r>
      <w:r>
        <w:rPr>
          <w:rFonts w:hint="eastAsia" w:ascii="宋体" w:hAnsi="宋体" w:eastAsia="宋体" w:cs="宋体"/>
          <w:sz w:val="24"/>
          <w:szCs w:val="24"/>
        </w:rPr>
        <w:t>的损失。若</w:t>
      </w:r>
      <w:r>
        <w:rPr>
          <w:rFonts w:hint="eastAsia" w:ascii="宋体" w:hAnsi="宋体" w:cs="宋体"/>
          <w:sz w:val="24"/>
          <w:szCs w:val="24"/>
          <w:lang w:eastAsia="zh-CN"/>
        </w:rPr>
        <w:t>成交供应商</w:t>
      </w:r>
      <w:r>
        <w:rPr>
          <w:rFonts w:hint="eastAsia" w:ascii="宋体" w:hAnsi="宋体" w:eastAsia="宋体" w:cs="宋体"/>
          <w:sz w:val="24"/>
          <w:szCs w:val="24"/>
        </w:rPr>
        <w:t>提供的产品无法达到</w:t>
      </w:r>
      <w:r>
        <w:rPr>
          <w:rFonts w:hint="eastAsia" w:ascii="宋体" w:hAnsi="宋体" w:eastAsia="宋体" w:cs="宋体"/>
          <w:sz w:val="24"/>
          <w:szCs w:val="24"/>
          <w:lang w:eastAsia="zh-CN"/>
        </w:rPr>
        <w:t>福清监狱</w:t>
      </w:r>
      <w:r>
        <w:rPr>
          <w:rFonts w:hint="eastAsia" w:ascii="宋体" w:hAnsi="宋体" w:eastAsia="宋体" w:cs="宋体"/>
          <w:sz w:val="24"/>
          <w:szCs w:val="24"/>
        </w:rPr>
        <w:t>日常使用要求，经过换货、调试后仍未改善，应</w:t>
      </w:r>
      <w:r>
        <w:rPr>
          <w:rFonts w:hint="eastAsia" w:ascii="宋体" w:hAnsi="宋体" w:eastAsia="宋体" w:cs="宋体"/>
          <w:sz w:val="24"/>
          <w:szCs w:val="24"/>
          <w:lang w:eastAsia="zh-CN"/>
        </w:rPr>
        <w:t>福清监狱</w:t>
      </w:r>
      <w:r>
        <w:rPr>
          <w:rFonts w:hint="eastAsia" w:ascii="宋体" w:hAnsi="宋体" w:eastAsia="宋体" w:cs="宋体"/>
          <w:sz w:val="24"/>
          <w:szCs w:val="24"/>
        </w:rPr>
        <w:t>要求，</w:t>
      </w:r>
      <w:r>
        <w:rPr>
          <w:rFonts w:hint="eastAsia" w:ascii="宋体" w:hAnsi="宋体" w:cs="宋体"/>
          <w:sz w:val="24"/>
          <w:szCs w:val="24"/>
          <w:lang w:eastAsia="zh-CN"/>
        </w:rPr>
        <w:t>成交供应商</w:t>
      </w:r>
      <w:r>
        <w:rPr>
          <w:rFonts w:hint="eastAsia" w:ascii="宋体" w:hAnsi="宋体" w:eastAsia="宋体" w:cs="宋体"/>
          <w:sz w:val="24"/>
          <w:szCs w:val="24"/>
        </w:rPr>
        <w:t>应退还收取的费用</w:t>
      </w:r>
      <w:r>
        <w:rPr>
          <w:rFonts w:hint="eastAsia" w:ascii="宋体" w:hAnsi="宋体" w:cs="宋体"/>
          <w:sz w:val="24"/>
          <w:szCs w:val="24"/>
          <w:lang w:eastAsia="zh-CN"/>
        </w:rPr>
        <w:t>，</w:t>
      </w:r>
      <w:r>
        <w:rPr>
          <w:rFonts w:hint="eastAsia" w:ascii="宋体" w:hAnsi="宋体" w:eastAsia="宋体" w:cs="宋体"/>
          <w:sz w:val="24"/>
          <w:szCs w:val="24"/>
          <w:lang w:val="en-US" w:eastAsia="zh-CN"/>
        </w:rPr>
        <w:t>并且</w:t>
      </w:r>
      <w:r>
        <w:rPr>
          <w:rFonts w:hint="eastAsia" w:ascii="宋体" w:hAnsi="宋体" w:eastAsia="宋体" w:cs="宋体"/>
          <w:sz w:val="24"/>
          <w:szCs w:val="24"/>
          <w:lang w:eastAsia="zh-CN"/>
        </w:rPr>
        <w:t>福清监狱</w:t>
      </w:r>
      <w:r>
        <w:rPr>
          <w:rFonts w:hint="eastAsia" w:ascii="宋体" w:hAnsi="宋体" w:eastAsia="宋体" w:cs="宋体"/>
          <w:sz w:val="24"/>
          <w:szCs w:val="24"/>
        </w:rPr>
        <w:t>有权对不足的货物部分另行采购，另行采购所发生的费用（包括采购物资费、交通费等）全部由</w:t>
      </w:r>
      <w:r>
        <w:rPr>
          <w:rFonts w:hint="eastAsia" w:ascii="宋体" w:hAnsi="宋体" w:cs="宋体"/>
          <w:sz w:val="24"/>
          <w:szCs w:val="24"/>
          <w:lang w:eastAsia="zh-CN"/>
        </w:rPr>
        <w:t>成交供应商</w:t>
      </w:r>
      <w:r>
        <w:rPr>
          <w:rFonts w:hint="eastAsia" w:ascii="宋体" w:hAnsi="宋体" w:eastAsia="宋体" w:cs="宋体"/>
          <w:sz w:val="24"/>
          <w:szCs w:val="24"/>
        </w:rPr>
        <w:t>承担。</w:t>
      </w:r>
    </w:p>
    <w:p>
      <w:pPr>
        <w:pStyle w:val="51"/>
        <w:keepNext w:val="0"/>
        <w:keepLines w:val="0"/>
        <w:pageBreakBefore w:val="0"/>
        <w:kinsoku/>
        <w:wordWrap/>
        <w:overflowPunct/>
        <w:topLinePunct w:val="0"/>
        <w:autoSpaceDE/>
        <w:autoSpaceDN/>
        <w:bidi w:val="0"/>
        <w:snapToGrid/>
        <w:spacing w:line="400" w:lineRule="exact"/>
        <w:ind w:firstLine="562"/>
        <w:textAlignment w:val="auto"/>
        <w:rPr>
          <w:rFonts w:hint="eastAsia" w:ascii="宋体" w:hAnsi="宋体" w:eastAsia="宋体" w:cs="宋体"/>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2技术标准：</w:t>
      </w:r>
      <w:r>
        <w:rPr>
          <w:rFonts w:hint="eastAsia" w:ascii="宋体" w:hAnsi="宋体" w:cs="宋体"/>
          <w:sz w:val="24"/>
          <w:szCs w:val="24"/>
          <w:lang w:eastAsia="zh-CN"/>
        </w:rPr>
        <w:t>成交供应商</w:t>
      </w:r>
      <w:r>
        <w:rPr>
          <w:rFonts w:hint="eastAsia" w:ascii="宋体" w:hAnsi="宋体" w:eastAsia="宋体" w:cs="宋体"/>
          <w:sz w:val="24"/>
          <w:szCs w:val="24"/>
        </w:rPr>
        <w:t>需提供相关产品的相关合格证等文件。</w:t>
      </w:r>
    </w:p>
    <w:p>
      <w:pPr>
        <w:pStyle w:val="51"/>
        <w:keepNext w:val="0"/>
        <w:keepLines w:val="0"/>
        <w:pageBreakBefore w:val="0"/>
        <w:kinsoku/>
        <w:wordWrap/>
        <w:overflowPunct/>
        <w:topLinePunct w:val="0"/>
        <w:autoSpaceDE/>
        <w:autoSpaceDN/>
        <w:bidi w:val="0"/>
        <w:snapToGrid/>
        <w:spacing w:line="400" w:lineRule="exact"/>
        <w:ind w:firstLine="562"/>
        <w:textAlignment w:val="auto"/>
        <w:rPr>
          <w:rFonts w:hint="eastAsia" w:ascii="宋体" w:hAnsi="宋体" w:eastAsia="宋体" w:cs="宋体"/>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3验收条件/方法：</w:t>
      </w:r>
    </w:p>
    <w:p>
      <w:pPr>
        <w:pStyle w:val="44"/>
        <w:keepNext w:val="0"/>
        <w:keepLines w:val="0"/>
        <w:pageBreakBefore w:val="0"/>
        <w:tabs>
          <w:tab w:val="left" w:pos="3438"/>
        </w:tabs>
        <w:kinsoku/>
        <w:wordWrap/>
        <w:overflowPunct/>
        <w:topLinePunct w:val="0"/>
        <w:autoSpaceDE/>
        <w:autoSpaceDN/>
        <w:bidi w:val="0"/>
        <w:adjustRightInd w:val="0"/>
        <w:snapToGrid/>
        <w:spacing w:line="400" w:lineRule="exact"/>
        <w:ind w:firstLine="480" w:firstLineChars="200"/>
        <w:textAlignment w:val="auto"/>
        <w:outlineLvl w:val="1"/>
        <w:rPr>
          <w:rFonts w:hint="eastAsia" w:ascii="宋体" w:hAnsi="宋体" w:eastAsia="宋体" w:cs="宋体"/>
          <w:kern w:val="2"/>
          <w:sz w:val="24"/>
          <w:szCs w:val="24"/>
        </w:rPr>
      </w:pPr>
      <w:r>
        <w:rPr>
          <w:rFonts w:hint="eastAsia" w:hAnsi="宋体" w:cs="宋体"/>
          <w:kern w:val="2"/>
          <w:sz w:val="24"/>
          <w:szCs w:val="24"/>
          <w:lang w:val="en-US" w:eastAsia="zh-CN"/>
        </w:rPr>
        <w:t>7.3.1</w:t>
      </w:r>
      <w:r>
        <w:rPr>
          <w:rFonts w:hint="eastAsia" w:hAnsi="宋体" w:cs="宋体"/>
          <w:kern w:val="2"/>
          <w:sz w:val="24"/>
          <w:szCs w:val="24"/>
          <w:lang w:eastAsia="zh-CN"/>
        </w:rPr>
        <w:t>成交供应商</w:t>
      </w:r>
      <w:r>
        <w:rPr>
          <w:rFonts w:hint="eastAsia" w:ascii="宋体" w:hAnsi="宋体" w:eastAsia="宋体" w:cs="宋体"/>
          <w:kern w:val="2"/>
          <w:sz w:val="24"/>
          <w:szCs w:val="24"/>
        </w:rPr>
        <w:t>将货物配送到</w:t>
      </w:r>
      <w:r>
        <w:rPr>
          <w:rFonts w:hint="eastAsia" w:ascii="宋体" w:hAnsi="宋体" w:eastAsia="宋体" w:cs="宋体"/>
          <w:kern w:val="2"/>
          <w:sz w:val="24"/>
          <w:szCs w:val="24"/>
          <w:lang w:eastAsia="zh-CN"/>
        </w:rPr>
        <w:t>福清监狱</w:t>
      </w:r>
      <w:r>
        <w:rPr>
          <w:rFonts w:hint="eastAsia" w:ascii="宋体" w:hAnsi="宋体" w:eastAsia="宋体" w:cs="宋体"/>
          <w:kern w:val="2"/>
          <w:sz w:val="24"/>
          <w:szCs w:val="24"/>
        </w:rPr>
        <w:t>指定地点后，由</w:t>
      </w:r>
      <w:r>
        <w:rPr>
          <w:rFonts w:hint="eastAsia" w:ascii="宋体" w:hAnsi="宋体" w:eastAsia="宋体" w:cs="宋体"/>
          <w:kern w:val="2"/>
          <w:sz w:val="24"/>
          <w:szCs w:val="24"/>
          <w:lang w:eastAsia="zh-CN"/>
        </w:rPr>
        <w:t>福清监狱</w:t>
      </w:r>
      <w:r>
        <w:rPr>
          <w:rFonts w:hint="eastAsia" w:ascii="宋体" w:hAnsi="宋体" w:eastAsia="宋体" w:cs="宋体"/>
          <w:kern w:val="2"/>
          <w:sz w:val="24"/>
          <w:szCs w:val="24"/>
        </w:rPr>
        <w:t>、</w:t>
      </w:r>
      <w:r>
        <w:rPr>
          <w:rFonts w:hint="eastAsia" w:hAnsi="宋体" w:cs="宋体"/>
          <w:kern w:val="2"/>
          <w:sz w:val="24"/>
          <w:szCs w:val="24"/>
          <w:lang w:eastAsia="zh-CN"/>
        </w:rPr>
        <w:t>成交供应商</w:t>
      </w:r>
      <w:r>
        <w:rPr>
          <w:rFonts w:hint="eastAsia" w:ascii="宋体" w:hAnsi="宋体" w:eastAsia="宋体" w:cs="宋体"/>
          <w:kern w:val="2"/>
          <w:sz w:val="24"/>
          <w:szCs w:val="24"/>
        </w:rPr>
        <w:t>指定人员共同进行到货验收确认，确认产品、名称、数量、型号及规格正确，包装完好，并在送货单上签收确认。验收过程中发现与货物清单规格不一致的，</w:t>
      </w:r>
      <w:r>
        <w:rPr>
          <w:rFonts w:hint="eastAsia" w:ascii="宋体" w:hAnsi="宋体" w:eastAsia="宋体" w:cs="宋体"/>
          <w:kern w:val="2"/>
          <w:sz w:val="24"/>
          <w:szCs w:val="24"/>
          <w:lang w:eastAsia="zh-CN"/>
        </w:rPr>
        <w:t>福清监狱</w:t>
      </w:r>
      <w:r>
        <w:rPr>
          <w:rFonts w:hint="eastAsia" w:ascii="宋体" w:hAnsi="宋体" w:eastAsia="宋体" w:cs="宋体"/>
          <w:kern w:val="2"/>
          <w:sz w:val="24"/>
          <w:szCs w:val="24"/>
        </w:rPr>
        <w:t>有权拒收。</w:t>
      </w:r>
    </w:p>
    <w:p>
      <w:pPr>
        <w:pStyle w:val="44"/>
        <w:keepNext w:val="0"/>
        <w:keepLines w:val="0"/>
        <w:pageBreakBefore w:val="0"/>
        <w:tabs>
          <w:tab w:val="left" w:pos="3438"/>
        </w:tabs>
        <w:kinsoku/>
        <w:wordWrap/>
        <w:overflowPunct/>
        <w:topLinePunct w:val="0"/>
        <w:autoSpaceDE/>
        <w:autoSpaceDN/>
        <w:bidi w:val="0"/>
        <w:adjustRightInd w:val="0"/>
        <w:snapToGrid/>
        <w:spacing w:line="400" w:lineRule="exact"/>
        <w:ind w:firstLine="480" w:firstLineChars="200"/>
        <w:textAlignment w:val="auto"/>
        <w:outlineLvl w:val="1"/>
        <w:rPr>
          <w:rFonts w:hint="eastAsia" w:ascii="宋体" w:hAnsi="宋体" w:eastAsia="宋体" w:cs="宋体"/>
          <w:sz w:val="24"/>
          <w:szCs w:val="24"/>
          <w:highlight w:val="none"/>
        </w:rPr>
      </w:pPr>
      <w:r>
        <w:rPr>
          <w:rFonts w:hint="eastAsia" w:hAnsi="宋体" w:cs="宋体"/>
          <w:kern w:val="2"/>
          <w:sz w:val="24"/>
          <w:szCs w:val="24"/>
          <w:lang w:val="en-US" w:eastAsia="zh-CN"/>
        </w:rPr>
        <w:t>7.3.2</w:t>
      </w:r>
      <w:r>
        <w:rPr>
          <w:rFonts w:hint="eastAsia" w:ascii="宋体" w:hAnsi="宋体" w:eastAsia="宋体" w:cs="宋体"/>
          <w:kern w:val="2"/>
          <w:sz w:val="24"/>
          <w:szCs w:val="24"/>
        </w:rPr>
        <w:t>鉴于货物的验收</w:t>
      </w:r>
      <w:r>
        <w:rPr>
          <w:rFonts w:hint="eastAsia" w:ascii="宋体" w:hAnsi="宋体" w:eastAsia="宋体" w:cs="宋体"/>
          <w:sz w:val="24"/>
          <w:szCs w:val="24"/>
        </w:rPr>
        <w:t>仅限于货物的外包装、数量、品目等初步外观内容，</w:t>
      </w:r>
      <w:r>
        <w:rPr>
          <w:rFonts w:hint="eastAsia" w:ascii="宋体" w:hAnsi="宋体" w:eastAsia="宋体" w:cs="宋体"/>
          <w:sz w:val="24"/>
          <w:szCs w:val="24"/>
          <w:lang w:eastAsia="zh-CN"/>
        </w:rPr>
        <w:t>福清监狱</w:t>
      </w:r>
      <w:r>
        <w:rPr>
          <w:rFonts w:hint="eastAsia" w:ascii="宋体" w:hAnsi="宋体" w:eastAsia="宋体" w:cs="宋体"/>
          <w:sz w:val="24"/>
          <w:szCs w:val="24"/>
        </w:rPr>
        <w:t>在实际使用货物过程中发现货物不符合合同约定的质量标准的</w:t>
      </w:r>
      <w:r>
        <w:rPr>
          <w:rFonts w:hint="eastAsia" w:ascii="宋体" w:hAnsi="宋体" w:eastAsia="宋体" w:cs="宋体"/>
          <w:sz w:val="24"/>
          <w:szCs w:val="24"/>
          <w:highlight w:val="none"/>
        </w:rPr>
        <w:t>，在合同保修期内</w:t>
      </w:r>
      <w:r>
        <w:rPr>
          <w:rFonts w:hint="eastAsia" w:hAnsi="宋体" w:cs="宋体"/>
          <w:sz w:val="24"/>
          <w:szCs w:val="24"/>
          <w:highlight w:val="none"/>
          <w:lang w:eastAsia="zh-CN"/>
        </w:rPr>
        <w:t>成交供应商</w:t>
      </w:r>
      <w:r>
        <w:rPr>
          <w:rFonts w:hint="eastAsia" w:ascii="宋体" w:hAnsi="宋体" w:eastAsia="宋体" w:cs="宋体"/>
          <w:sz w:val="24"/>
          <w:szCs w:val="24"/>
          <w:highlight w:val="none"/>
        </w:rPr>
        <w:t>应无条件予以配合免费退货、换货或修理。</w:t>
      </w:r>
    </w:p>
    <w:p>
      <w:pPr>
        <w:pStyle w:val="44"/>
        <w:keepNext w:val="0"/>
        <w:keepLines w:val="0"/>
        <w:pageBreakBefore w:val="0"/>
        <w:tabs>
          <w:tab w:val="left" w:pos="3438"/>
        </w:tabs>
        <w:kinsoku/>
        <w:wordWrap/>
        <w:overflowPunct/>
        <w:topLinePunct w:val="0"/>
        <w:autoSpaceDE/>
        <w:autoSpaceDN/>
        <w:bidi w:val="0"/>
        <w:adjustRightInd w:val="0"/>
        <w:snapToGrid/>
        <w:spacing w:line="400" w:lineRule="exact"/>
        <w:ind w:firstLine="480" w:firstLineChars="200"/>
        <w:textAlignment w:val="auto"/>
        <w:outlineLvl w:val="1"/>
        <w:rPr>
          <w:rFonts w:hint="eastAsia" w:ascii="宋体" w:hAnsi="宋体" w:eastAsia="宋体" w:cs="宋体"/>
          <w:sz w:val="24"/>
          <w:szCs w:val="24"/>
          <w:highlight w:val="none"/>
        </w:rPr>
      </w:pPr>
      <w:r>
        <w:rPr>
          <w:rFonts w:hint="eastAsia" w:hAnsi="宋体" w:cs="宋体"/>
          <w:kern w:val="2"/>
          <w:sz w:val="24"/>
          <w:szCs w:val="24"/>
          <w:highlight w:val="none"/>
          <w:lang w:val="en-US" w:eastAsia="zh-CN"/>
        </w:rPr>
        <w:t>7.3.3</w:t>
      </w:r>
      <w:r>
        <w:rPr>
          <w:rFonts w:hint="eastAsia" w:hAnsi="宋体" w:cs="宋体"/>
          <w:sz w:val="24"/>
          <w:szCs w:val="24"/>
          <w:highlight w:val="none"/>
          <w:lang w:eastAsia="zh-CN"/>
        </w:rPr>
        <w:t>成交供应商</w:t>
      </w:r>
      <w:r>
        <w:rPr>
          <w:rFonts w:hint="eastAsia" w:ascii="宋体" w:hAnsi="宋体" w:eastAsia="宋体" w:cs="宋体"/>
          <w:sz w:val="24"/>
          <w:szCs w:val="24"/>
          <w:highlight w:val="none"/>
        </w:rPr>
        <w:t>应负责</w:t>
      </w:r>
      <w:r>
        <w:rPr>
          <w:rFonts w:hint="eastAsia" w:ascii="宋体" w:hAnsi="宋体" w:eastAsia="宋体" w:cs="宋体"/>
          <w:sz w:val="24"/>
          <w:szCs w:val="24"/>
          <w:highlight w:val="none"/>
          <w:lang w:eastAsia="zh-CN"/>
        </w:rPr>
        <w:t>免费</w:t>
      </w:r>
      <w:r>
        <w:rPr>
          <w:rFonts w:hint="eastAsia" w:ascii="宋体" w:hAnsi="宋体" w:eastAsia="宋体" w:cs="宋体"/>
          <w:sz w:val="24"/>
          <w:szCs w:val="24"/>
          <w:highlight w:val="none"/>
        </w:rPr>
        <w:t>安装、调试等，并由双方在验收单上对货物验收情况、安装调试予以记载并签字确认，安装过程中出现的一切安全责任及财产损失或人身损害，均由</w:t>
      </w:r>
      <w:r>
        <w:rPr>
          <w:rFonts w:hint="eastAsia" w:hAnsi="宋体" w:cs="宋体"/>
          <w:sz w:val="24"/>
          <w:szCs w:val="24"/>
          <w:highlight w:val="none"/>
          <w:lang w:eastAsia="zh-CN"/>
        </w:rPr>
        <w:t>成交供应商</w:t>
      </w:r>
      <w:r>
        <w:rPr>
          <w:rFonts w:hint="eastAsia" w:ascii="宋体" w:hAnsi="宋体" w:eastAsia="宋体" w:cs="宋体"/>
          <w:sz w:val="24"/>
          <w:szCs w:val="24"/>
          <w:highlight w:val="none"/>
        </w:rPr>
        <w:t>自行负责。</w:t>
      </w:r>
    </w:p>
    <w:p>
      <w:pPr>
        <w:keepNext w:val="0"/>
        <w:keepLines w:val="0"/>
        <w:pageBreakBefore w:val="0"/>
        <w:widowControl w:val="0"/>
        <w:kinsoku/>
        <w:wordWrap/>
        <w:overflowPunct/>
        <w:topLinePunct w:val="0"/>
        <w:autoSpaceDE/>
        <w:autoSpaceDN/>
        <w:bidi w:val="0"/>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rPr>
        <w:t>4售后服务条款：</w:t>
      </w:r>
      <w:r>
        <w:rPr>
          <w:rFonts w:hint="eastAsia" w:ascii="宋体" w:hAnsi="宋体" w:eastAsia="宋体" w:cs="宋体"/>
          <w:sz w:val="24"/>
          <w:szCs w:val="24"/>
          <w:highlight w:val="none"/>
        </w:rPr>
        <w:t>若产品附有售后服务，则售后时长以产品实际售后服务期限为准，若产品不带售后服务，</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应提供为期</w:t>
      </w:r>
      <w:r>
        <w:rPr>
          <w:rFonts w:hint="eastAsia" w:ascii="宋体" w:hAnsi="宋体" w:eastAsia="宋体" w:cs="宋体"/>
          <w:sz w:val="24"/>
          <w:szCs w:val="24"/>
          <w:highlight w:val="none"/>
          <w:u w:val="single"/>
        </w:rPr>
        <w:t xml:space="preserve"> 壹年 </w:t>
      </w:r>
      <w:r>
        <w:rPr>
          <w:rFonts w:hint="eastAsia" w:ascii="宋体" w:hAnsi="宋体" w:eastAsia="宋体" w:cs="宋体"/>
          <w:sz w:val="24"/>
          <w:szCs w:val="24"/>
          <w:highlight w:val="none"/>
        </w:rPr>
        <w:t>的三包服务（包退货、包更换、包维修，</w:t>
      </w:r>
      <w:r>
        <w:rPr>
          <w:rFonts w:hint="eastAsia" w:ascii="宋体" w:hAnsi="宋体" w:eastAsia="宋体" w:cs="宋体"/>
          <w:sz w:val="24"/>
          <w:szCs w:val="24"/>
          <w:highlight w:val="none"/>
          <w:lang w:eastAsia="zh-CN"/>
        </w:rPr>
        <w:t>福清监狱</w:t>
      </w:r>
      <w:r>
        <w:rPr>
          <w:rFonts w:hint="eastAsia" w:ascii="宋体" w:hAnsi="宋体" w:eastAsia="宋体" w:cs="宋体"/>
          <w:sz w:val="24"/>
          <w:szCs w:val="24"/>
          <w:highlight w:val="none"/>
        </w:rPr>
        <w:t>可以自行选择退货、换货或修理）。免费保修期内，产品发生质量问题（非正常耗损外），</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提供免费（包括材料费、工时费和运输</w:t>
      </w:r>
      <w:r>
        <w:rPr>
          <w:rFonts w:hint="eastAsia" w:ascii="宋体" w:hAnsi="宋体" w:eastAsia="宋体" w:cs="宋体"/>
          <w:sz w:val="24"/>
          <w:szCs w:val="24"/>
        </w:rPr>
        <w:t>费等）上门维修或更换直至质量没有问题能正常使用。因人为原因或其他非</w:t>
      </w:r>
      <w:r>
        <w:rPr>
          <w:rFonts w:hint="eastAsia" w:ascii="宋体" w:hAnsi="宋体" w:cs="宋体"/>
          <w:sz w:val="24"/>
          <w:szCs w:val="24"/>
          <w:lang w:eastAsia="zh-CN"/>
        </w:rPr>
        <w:t>成交供应商</w:t>
      </w:r>
      <w:r>
        <w:rPr>
          <w:rFonts w:hint="eastAsia" w:ascii="宋体" w:hAnsi="宋体" w:eastAsia="宋体" w:cs="宋体"/>
          <w:sz w:val="24"/>
          <w:szCs w:val="24"/>
        </w:rPr>
        <w:t>产品质量导致的问题，</w:t>
      </w:r>
      <w:r>
        <w:rPr>
          <w:rFonts w:hint="eastAsia" w:ascii="宋体" w:hAnsi="宋体" w:cs="宋体"/>
          <w:sz w:val="24"/>
          <w:szCs w:val="24"/>
          <w:lang w:eastAsia="zh-CN"/>
        </w:rPr>
        <w:t>成交供应商</w:t>
      </w:r>
      <w:r>
        <w:rPr>
          <w:rFonts w:hint="eastAsia" w:ascii="宋体" w:hAnsi="宋体" w:eastAsia="宋体" w:cs="宋体"/>
          <w:sz w:val="24"/>
          <w:szCs w:val="24"/>
        </w:rPr>
        <w:t>有义务协助</w:t>
      </w:r>
      <w:r>
        <w:rPr>
          <w:rFonts w:hint="eastAsia" w:ascii="宋体" w:hAnsi="宋体" w:eastAsia="宋体" w:cs="宋体"/>
          <w:sz w:val="24"/>
          <w:szCs w:val="24"/>
          <w:lang w:eastAsia="zh-CN"/>
        </w:rPr>
        <w:t>福清监狱</w:t>
      </w:r>
      <w:r>
        <w:rPr>
          <w:rFonts w:hint="eastAsia" w:ascii="宋体" w:hAnsi="宋体" w:eastAsia="宋体" w:cs="宋体"/>
          <w:sz w:val="24"/>
          <w:szCs w:val="24"/>
        </w:rPr>
        <w:t>维修，所需的配件费等由</w:t>
      </w:r>
      <w:r>
        <w:rPr>
          <w:rFonts w:hint="eastAsia" w:ascii="宋体" w:hAnsi="宋体" w:eastAsia="宋体" w:cs="宋体"/>
          <w:sz w:val="24"/>
          <w:szCs w:val="24"/>
          <w:lang w:eastAsia="zh-CN"/>
        </w:rPr>
        <w:t>福清监狱</w:t>
      </w:r>
      <w:r>
        <w:rPr>
          <w:rFonts w:hint="eastAsia" w:ascii="宋体" w:hAnsi="宋体" w:eastAsia="宋体" w:cs="宋体"/>
          <w:sz w:val="24"/>
          <w:szCs w:val="24"/>
        </w:rPr>
        <w:t>支付。保修期满后，</w:t>
      </w:r>
      <w:r>
        <w:rPr>
          <w:rFonts w:hint="eastAsia" w:ascii="宋体" w:hAnsi="宋体" w:cs="宋体"/>
          <w:sz w:val="24"/>
          <w:szCs w:val="24"/>
          <w:lang w:eastAsia="zh-CN"/>
        </w:rPr>
        <w:t>成交供应商</w:t>
      </w:r>
      <w:r>
        <w:rPr>
          <w:rFonts w:hint="eastAsia" w:ascii="宋体" w:hAnsi="宋体" w:eastAsia="宋体" w:cs="宋体"/>
          <w:sz w:val="24"/>
          <w:szCs w:val="24"/>
        </w:rPr>
        <w:t>仍然提供及时、优惠的维修保养服务。维护保养仅收取成本费用，免人</w:t>
      </w:r>
      <w:r>
        <w:rPr>
          <w:rFonts w:hint="eastAsia" w:asciiTheme="minorEastAsia" w:hAnsiTheme="minorEastAsia" w:eastAsiaTheme="minorEastAsia" w:cstheme="minorEastAsia"/>
          <w:sz w:val="24"/>
          <w:szCs w:val="24"/>
        </w:rPr>
        <w:t>工费，且备品备件长期以最优惠的价格供应。</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firstLine="472" w:firstLineChars="196"/>
        <w:textAlignment w:val="auto"/>
        <w:rPr>
          <w:rStyle w:val="23"/>
          <w:rFonts w:hint="eastAsia" w:ascii="宋体" w:hAnsi="宋体" w:cs="宋体"/>
          <w:lang w:val="en-US" w:eastAsia="zh-CN"/>
        </w:rPr>
      </w:pPr>
      <w:r>
        <w:rPr>
          <w:rStyle w:val="23"/>
          <w:rFonts w:hint="eastAsia" w:ascii="宋体" w:hAnsi="宋体" w:cs="宋体"/>
          <w:lang w:val="en-US" w:eastAsia="zh-CN"/>
        </w:rPr>
        <w:t>8、违约责任</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1解除合同违约责任</w:t>
      </w:r>
    </w:p>
    <w:p>
      <w:pPr>
        <w:keepNext w:val="0"/>
        <w:keepLines w:val="0"/>
        <w:pageBreakBefore w:val="0"/>
        <w:widowControl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签订合同后</w:t>
      </w:r>
      <w:r>
        <w:rPr>
          <w:rFonts w:hint="eastAsia" w:asciiTheme="minorEastAsia" w:hAnsiTheme="minorEastAsia" w:eastAsiaTheme="minorEastAsia" w:cstheme="minorEastAsia"/>
          <w:sz w:val="24"/>
          <w:szCs w:val="24"/>
          <w:lang w:val="zh-TW" w:eastAsia="zh-TW"/>
        </w:rPr>
        <w:t>因</w:t>
      </w:r>
      <w:r>
        <w:rPr>
          <w:rFonts w:hint="eastAsia" w:asciiTheme="minorEastAsia" w:hAnsiTheme="minorEastAsia" w:eastAsiaTheme="minorEastAsia" w:cstheme="minorEastAsia"/>
          <w:sz w:val="24"/>
          <w:szCs w:val="24"/>
          <w:lang w:val="zh-TW" w:eastAsia="zh-CN"/>
        </w:rPr>
        <w:t>成交供应商</w:t>
      </w:r>
      <w:r>
        <w:rPr>
          <w:rFonts w:hint="eastAsia" w:asciiTheme="minorEastAsia" w:hAnsiTheme="minorEastAsia" w:eastAsiaTheme="minorEastAsia" w:cstheme="minorEastAsia"/>
          <w:sz w:val="24"/>
          <w:szCs w:val="24"/>
          <w:lang w:val="zh-TW" w:eastAsia="zh-TW"/>
        </w:rPr>
        <w:t>任何违约行为导致合同无法正常</w:t>
      </w:r>
      <w:r>
        <w:rPr>
          <w:rFonts w:hint="eastAsia" w:asciiTheme="minorEastAsia" w:hAnsiTheme="minorEastAsia" w:eastAsiaTheme="minorEastAsia" w:cstheme="minorEastAsia"/>
          <w:sz w:val="24"/>
          <w:szCs w:val="24"/>
          <w:lang w:val="zh-TW"/>
        </w:rPr>
        <w:t>继续</w:t>
      </w:r>
      <w:r>
        <w:rPr>
          <w:rFonts w:hint="eastAsia" w:asciiTheme="minorEastAsia" w:hAnsiTheme="minorEastAsia" w:eastAsiaTheme="minorEastAsia" w:cstheme="minorEastAsia"/>
          <w:sz w:val="24"/>
          <w:szCs w:val="24"/>
          <w:lang w:val="zh-TW" w:eastAsia="zh-TW"/>
        </w:rPr>
        <w:t>履行或提前终止，</w:t>
      </w:r>
      <w:r>
        <w:rPr>
          <w:rFonts w:hint="eastAsia" w:asciiTheme="minorEastAsia" w:hAnsiTheme="minorEastAsia" w:eastAsiaTheme="minorEastAsia" w:cstheme="minorEastAsia"/>
          <w:sz w:val="24"/>
          <w:szCs w:val="24"/>
          <w:lang w:val="zh-TW" w:eastAsia="zh-CN"/>
        </w:rPr>
        <w:t>福清监狱</w:t>
      </w:r>
      <w:r>
        <w:rPr>
          <w:rFonts w:hint="eastAsia" w:asciiTheme="minorEastAsia" w:hAnsiTheme="minorEastAsia" w:eastAsiaTheme="minorEastAsia" w:cstheme="minorEastAsia"/>
          <w:sz w:val="24"/>
          <w:szCs w:val="24"/>
          <w:lang w:val="zh-TW" w:eastAsia="zh-TW"/>
        </w:rPr>
        <w:t>有权不予退还履约保证金</w:t>
      </w:r>
      <w:r>
        <w:rPr>
          <w:rFonts w:hint="eastAsia" w:asciiTheme="minorEastAsia" w:hAnsiTheme="minorEastAsia" w:eastAsiaTheme="minorEastAsia" w:cstheme="minorEastAsia"/>
          <w:sz w:val="24"/>
          <w:szCs w:val="24"/>
          <w:lang w:val="zh-TW"/>
        </w:rPr>
        <w:t>，</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还应支付本合同价款30%的违约金，违约金</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可优先从</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u w:val="single" w:color="FFFFFF"/>
        </w:rPr>
        <w:t>货款</w:t>
      </w:r>
      <w:r>
        <w:rPr>
          <w:rFonts w:hint="eastAsia" w:asciiTheme="minorEastAsia" w:hAnsiTheme="minorEastAsia" w:eastAsiaTheme="minorEastAsia" w:cstheme="minorEastAsia"/>
          <w:sz w:val="24"/>
          <w:szCs w:val="24"/>
        </w:rPr>
        <w:t>中扣除。</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2逾期交货/付款违约责任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原因逾期交货或逾期安装的，</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应以如下方式向</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支付逾期违约金（不可抗力除外）：</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（1）从逾期交货或安装之日起未超过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rPr>
        <w:t>天的，每逾期一天支付合同总价</w:t>
      </w:r>
      <w:r>
        <w:rPr>
          <w:rFonts w:hint="eastAsia" w:asciiTheme="minorEastAsia" w:hAnsiTheme="minorEastAsia" w:eastAsiaTheme="minorEastAsia" w:cstheme="minorEastAsia"/>
          <w:sz w:val="24"/>
          <w:szCs w:val="24"/>
          <w:u w:val="single"/>
        </w:rPr>
        <w:t xml:space="preserve"> 5 </w:t>
      </w:r>
      <w:r>
        <w:rPr>
          <w:rFonts w:hint="eastAsia" w:asciiTheme="minorEastAsia" w:hAnsiTheme="minorEastAsia" w:eastAsiaTheme="minorEastAsia" w:cstheme="minorEastAsia"/>
          <w:sz w:val="24"/>
          <w:szCs w:val="24"/>
        </w:rPr>
        <w:t>%的违约金；不够一天的时间计为一天，不可抗力因素除外。</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default" w:eastAsia="宋体"/>
          <w:highlight w:val="none"/>
          <w:lang w:val="en-US"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）从逾期交货或安装之日起超过</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3</w:t>
      </w:r>
      <w:r>
        <w:rPr>
          <w:rFonts w:hint="eastAsia" w:asciiTheme="minorEastAsia" w:hAnsiTheme="minorEastAsia" w:eastAsiaTheme="minorEastAsia" w:cstheme="minorEastAsia"/>
          <w:sz w:val="24"/>
          <w:szCs w:val="24"/>
          <w:highlight w:val="none"/>
        </w:rPr>
        <w:t>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不满7天</w:t>
      </w:r>
      <w:r>
        <w:rPr>
          <w:rFonts w:hint="eastAsia" w:asciiTheme="minorEastAsia" w:hAnsiTheme="minorEastAsia" w:eastAsiaTheme="minorEastAsia" w:cstheme="minorEastAsia"/>
          <w:sz w:val="24"/>
          <w:szCs w:val="24"/>
          <w:highlight w:val="none"/>
        </w:rPr>
        <w:t>的，每逾期一天支付合同总价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10</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%的违约金；不够一天的时间计为一天，不可抗力因素除外。</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）逾期交货或安装时间超过</w:t>
      </w:r>
      <w:r>
        <w:rPr>
          <w:rFonts w:hint="eastAsia" w:asciiTheme="minorEastAsia" w:hAnsiTheme="minorEastAsia" w:eastAsiaTheme="minorEastAsia" w:cstheme="minorEastAsia"/>
          <w:sz w:val="24"/>
          <w:szCs w:val="24"/>
          <w:u w:val="single"/>
        </w:rPr>
        <w:t xml:space="preserve"> 7 </w:t>
      </w:r>
      <w:r>
        <w:rPr>
          <w:rFonts w:hint="eastAsia" w:asciiTheme="minorEastAsia" w:hAnsiTheme="minorEastAsia" w:eastAsiaTheme="minorEastAsia" w:cstheme="minorEastAsia"/>
          <w:sz w:val="24"/>
          <w:szCs w:val="24"/>
        </w:rPr>
        <w:t>天，</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有权单方解除本合同，</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应向</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支付合同总价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 xml:space="preserve">0 </w:t>
      </w:r>
      <w:r>
        <w:rPr>
          <w:rFonts w:hint="eastAsia" w:asciiTheme="minorEastAsia" w:hAnsiTheme="minorEastAsia" w:eastAsiaTheme="minorEastAsia" w:cstheme="minorEastAsia"/>
          <w:sz w:val="24"/>
          <w:szCs w:val="24"/>
        </w:rPr>
        <w:t>%的违约金。</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3货物数量/价格不符违约责任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须按</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要求将足量的货物交付，所送货物少于</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要求，</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应通知</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及时补足，若</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未在约定的时限内补足货物影响</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工作的，</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须支付</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违约金，违约金为当批采购货物总金额的</w:t>
      </w:r>
      <w:r>
        <w:rPr>
          <w:rFonts w:hint="eastAsia" w:asciiTheme="minorEastAsia" w:hAnsiTheme="minorEastAsia" w:eastAsiaTheme="minorEastAsia" w:cstheme="minorEastAsia"/>
          <w:sz w:val="24"/>
          <w:szCs w:val="24"/>
          <w:u w:val="single"/>
        </w:rPr>
        <w:t xml:space="preserve"> 30 </w:t>
      </w:r>
      <w:r>
        <w:rPr>
          <w:rFonts w:hint="eastAsia" w:asciiTheme="minorEastAsia" w:hAnsiTheme="minorEastAsia" w:eastAsiaTheme="minorEastAsia" w:cstheme="minorEastAsia"/>
          <w:sz w:val="24"/>
          <w:szCs w:val="24"/>
        </w:rPr>
        <w:t>%，且</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有权对不足的货物部分另行采购，另行采购所发生的费用（包括采购物资费、交通费等）全部由</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承担。</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有权从应付货款中直接扣除违约金、另行采购所支出的费用。上述违约事项发生3次以上（含），</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除按约定交纳违约金外，</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有权单方解除合同，不予退还</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的履约保证金。</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在配送期间，如出现货品配送价与合同价格不符及配送清单与实际货物不符等情况，</w:t>
      </w:r>
      <w:r>
        <w:rPr>
          <w:rFonts w:hint="eastAsia" w:asciiTheme="minorEastAsia" w:hAnsiTheme="minorEastAsia" w:eastAsiaTheme="minorEastAsia" w:cstheme="minorEastAsia"/>
          <w:sz w:val="24"/>
          <w:szCs w:val="24"/>
          <w:highlight w:val="none"/>
        </w:rPr>
        <w:t>经</w:t>
      </w:r>
      <w:r>
        <w:rPr>
          <w:rFonts w:hint="eastAsia" w:asciiTheme="minorEastAsia" w:hAnsiTheme="minorEastAsia" w:eastAsiaTheme="minorEastAsia" w:cstheme="minorEastAsia"/>
          <w:sz w:val="24"/>
          <w:szCs w:val="24"/>
          <w:highlight w:val="none"/>
          <w:lang w:eastAsia="zh-CN"/>
        </w:rPr>
        <w:t>福清监狱</w:t>
      </w:r>
      <w:r>
        <w:rPr>
          <w:rFonts w:hint="eastAsia" w:asciiTheme="minorEastAsia" w:hAnsiTheme="minorEastAsia" w:eastAsiaTheme="minorEastAsia" w:cstheme="minorEastAsia"/>
          <w:sz w:val="24"/>
          <w:szCs w:val="24"/>
          <w:highlight w:val="none"/>
        </w:rPr>
        <w:t>要求更换并拒不接受的，</w:t>
      </w:r>
      <w:r>
        <w:rPr>
          <w:rFonts w:hint="eastAsia" w:asciiTheme="minorEastAsia" w:hAnsiTheme="minorEastAsia" w:eastAsiaTheme="minorEastAsia" w:cstheme="minorEastAsia"/>
          <w:sz w:val="24"/>
          <w:szCs w:val="24"/>
          <w:highlight w:val="none"/>
          <w:lang w:eastAsia="zh-CN"/>
        </w:rPr>
        <w:t>成交供应商</w:t>
      </w:r>
      <w:r>
        <w:rPr>
          <w:rFonts w:hint="eastAsia" w:asciiTheme="minorEastAsia" w:hAnsiTheme="minorEastAsia" w:eastAsiaTheme="minorEastAsia" w:cstheme="minorEastAsia"/>
          <w:sz w:val="24"/>
          <w:szCs w:val="24"/>
        </w:rPr>
        <w:t>应向</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支付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 xml:space="preserve">000 </w:t>
      </w:r>
      <w:r>
        <w:rPr>
          <w:rFonts w:hint="eastAsia" w:asciiTheme="minorEastAsia" w:hAnsiTheme="minorEastAsia" w:eastAsiaTheme="minorEastAsia" w:cstheme="minorEastAsia"/>
          <w:sz w:val="24"/>
          <w:szCs w:val="24"/>
        </w:rPr>
        <w:t>元的违约金且应按成交报价材料记载的货物和价格承担继续履行、更换货物等责任。上述违约事项发生3次以上（含），</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除按约定交纳违约金外，</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有权单方解除合同，不予退还</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的履约保证金。</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4货物质量违约责任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提供的货物质量不符合合同约定的，</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应无条件予以配合免费退货换货，因退换货不及时影响</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工作的，发现一次，</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应向</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支付</w:t>
      </w:r>
      <w:r>
        <w:rPr>
          <w:rFonts w:hint="eastAsia" w:asciiTheme="minorEastAsia" w:hAnsiTheme="minorEastAsia" w:eastAsiaTheme="minorEastAsia" w:cstheme="minorEastAsia"/>
          <w:sz w:val="24"/>
          <w:szCs w:val="24"/>
          <w:u w:val="single"/>
        </w:rPr>
        <w:t xml:space="preserve"> 3000 </w:t>
      </w:r>
      <w:r>
        <w:rPr>
          <w:rFonts w:hint="eastAsia" w:asciiTheme="minorEastAsia" w:hAnsiTheme="minorEastAsia" w:eastAsiaTheme="minorEastAsia" w:cstheme="minorEastAsia"/>
          <w:sz w:val="24"/>
          <w:szCs w:val="24"/>
          <w:u w:val="none" w:color="auto"/>
        </w:rPr>
        <w:t>元</w:t>
      </w:r>
      <w:r>
        <w:rPr>
          <w:rFonts w:hint="eastAsia" w:asciiTheme="minorEastAsia" w:hAnsiTheme="minorEastAsia" w:eastAsiaTheme="minorEastAsia" w:cstheme="minorEastAsia"/>
          <w:sz w:val="24"/>
          <w:szCs w:val="24"/>
        </w:rPr>
        <w:t>违约金；因产品质量问题造成</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或任何第三方损害的，</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应承担一切损害赔偿、法律责任，</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有权单方解除合同，不予退还</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的履约保证金。</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5货物故障维修违约责任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如因产品质量问题使</w:t>
      </w:r>
      <w:r>
        <w:rPr>
          <w:rFonts w:hint="eastAsia" w:asciiTheme="minorEastAsia" w:hAnsiTheme="minorEastAsia" w:eastAsiaTheme="minorEastAsia" w:cstheme="minorEastAsia"/>
          <w:sz w:val="24"/>
          <w:szCs w:val="24"/>
          <w:highlight w:val="none"/>
          <w:lang w:eastAsia="zh-CN"/>
        </w:rPr>
        <w:t>福清监狱</w:t>
      </w:r>
      <w:r>
        <w:rPr>
          <w:rFonts w:hint="eastAsia" w:asciiTheme="minorEastAsia" w:hAnsiTheme="minorEastAsia" w:eastAsiaTheme="minorEastAsia" w:cstheme="minorEastAsia"/>
          <w:sz w:val="24"/>
          <w:szCs w:val="24"/>
          <w:highlight w:val="none"/>
        </w:rPr>
        <w:t>设备出现故障，</w:t>
      </w:r>
      <w:r>
        <w:rPr>
          <w:rFonts w:hint="eastAsia" w:asciiTheme="minorEastAsia" w:hAnsiTheme="minorEastAsia" w:eastAsiaTheme="minorEastAsia" w:cstheme="minorEastAsia"/>
          <w:sz w:val="24"/>
          <w:szCs w:val="24"/>
          <w:highlight w:val="none"/>
          <w:lang w:eastAsia="zh-CN"/>
        </w:rPr>
        <w:t>成交供应商</w:t>
      </w:r>
      <w:r>
        <w:rPr>
          <w:rFonts w:hint="eastAsia" w:asciiTheme="minorEastAsia" w:hAnsiTheme="minorEastAsia" w:eastAsiaTheme="minorEastAsia" w:cstheme="minorEastAsia"/>
          <w:sz w:val="24"/>
          <w:szCs w:val="24"/>
          <w:highlight w:val="none"/>
        </w:rPr>
        <w:t>在保修期</w:t>
      </w:r>
      <w:r>
        <w:rPr>
          <w:rFonts w:hint="eastAsia" w:asciiTheme="minorEastAsia" w:hAnsiTheme="minorEastAsia" w:eastAsiaTheme="minorEastAsia" w:cstheme="minorEastAsia"/>
          <w:sz w:val="24"/>
          <w:szCs w:val="24"/>
          <w:highlight w:val="none"/>
        </w:rPr>
        <w:t>内接到</w:t>
      </w:r>
      <w:r>
        <w:rPr>
          <w:rFonts w:hint="eastAsia" w:asciiTheme="minorEastAsia" w:hAnsiTheme="minorEastAsia" w:eastAsiaTheme="minorEastAsia" w:cstheme="minorEastAsia"/>
          <w:sz w:val="24"/>
          <w:szCs w:val="24"/>
          <w:highlight w:val="none"/>
          <w:lang w:eastAsia="zh-CN"/>
        </w:rPr>
        <w:t>福清监狱</w:t>
      </w:r>
      <w:r>
        <w:rPr>
          <w:rFonts w:hint="eastAsia" w:asciiTheme="minorEastAsia" w:hAnsiTheme="minorEastAsia" w:eastAsiaTheme="minorEastAsia" w:cstheme="minorEastAsia"/>
          <w:sz w:val="24"/>
          <w:szCs w:val="24"/>
          <w:highlight w:val="none"/>
        </w:rPr>
        <w:t>维修电话通知后</w:t>
      </w:r>
      <w:r>
        <w:rPr>
          <w:rFonts w:hint="eastAsia" w:asciiTheme="minorEastAsia" w:hAnsiTheme="minorEastAsia" w:eastAsiaTheme="minorEastAsia" w:cstheme="minorEastAsia"/>
          <w:sz w:val="24"/>
          <w:szCs w:val="24"/>
          <w:highlight w:val="none"/>
          <w:u w:val="single" w:color="auto"/>
        </w:rPr>
        <w:t>24</w:t>
      </w:r>
      <w:r>
        <w:rPr>
          <w:rFonts w:hint="eastAsia" w:asciiTheme="minorEastAsia" w:hAnsiTheme="minorEastAsia" w:eastAsiaTheme="minorEastAsia" w:cstheme="minorEastAsia"/>
          <w:sz w:val="24"/>
          <w:szCs w:val="24"/>
          <w:highlight w:val="none"/>
        </w:rPr>
        <w:t>小时内须派</w:t>
      </w:r>
      <w:r>
        <w:rPr>
          <w:rFonts w:hint="eastAsia" w:asciiTheme="minorEastAsia" w:hAnsiTheme="minorEastAsia" w:eastAsiaTheme="minorEastAsia" w:cstheme="minorEastAsia"/>
          <w:sz w:val="24"/>
          <w:szCs w:val="24"/>
        </w:rPr>
        <w:t>人到</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单位提供维修或更换服务，如果</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无法按时提供上门维修或更换服务的，</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有权请第三方进行维修，产生的费用从</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的应付货款中扣除；同时</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应向</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支付逾期违约金，违约金为逾期每日</w:t>
      </w:r>
      <w:r>
        <w:rPr>
          <w:rFonts w:hint="eastAsia" w:asciiTheme="minorEastAsia" w:hAnsiTheme="minorEastAsia" w:eastAsiaTheme="minorEastAsia" w:cstheme="minorEastAsia"/>
          <w:sz w:val="24"/>
          <w:szCs w:val="24"/>
          <w:u w:val="single"/>
        </w:rPr>
        <w:t xml:space="preserve"> 500</w:t>
      </w:r>
      <w:r>
        <w:rPr>
          <w:rFonts w:hint="eastAsia" w:asciiTheme="minorEastAsia" w:hAnsiTheme="minorEastAsia" w:eastAsiaTheme="minorEastAsia" w:cstheme="minorEastAsia"/>
          <w:sz w:val="24"/>
          <w:szCs w:val="24"/>
        </w:rPr>
        <w:t>元。因</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产品质量问题导致</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人身或财产损失的，</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lang w:val="en-US" w:eastAsia="zh-CN"/>
        </w:rPr>
        <w:t>承担全部责任</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6分包/转包违约责任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不得将本项目进行分包或转包，如发现经查实，</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有权单方解除合同并不予退还履约保证金，</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还须向</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支付合同金额30%的违约金。</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7进入监管区有关违约责任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lang w:val="en-US" w:eastAsia="zh-CN"/>
        </w:rPr>
        <w:t>人员</w:t>
      </w:r>
      <w:r>
        <w:rPr>
          <w:rFonts w:hint="eastAsia" w:asciiTheme="minorEastAsia" w:hAnsiTheme="minorEastAsia" w:eastAsiaTheme="minorEastAsia" w:cstheme="minorEastAsia"/>
          <w:sz w:val="24"/>
          <w:szCs w:val="24"/>
        </w:rPr>
        <w:t>进入</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监管区的工作人员必须遵守</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的工作制度和监管安全规定，服从</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人员的指挥，不得为罪犯传递信息、现金、手机、毒品、枪支、刀具等违禁品、违规品，若有发现经核查属实的，</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须马上更换工作人员，并视情况向</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支付10000元-20000元的违约金。发生二次（含）以上或造成严重后果的，</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有权单方解除合同并没收履约保证金，</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还应承担相关的法律责任。违约金直接从</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应支付</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的费用中扣除，不足部分，</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应自收到</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通知之日起</w:t>
      </w:r>
      <w:r>
        <w:rPr>
          <w:rFonts w:hint="eastAsia" w:asciiTheme="minorEastAsia" w:hAnsiTheme="minorEastAsia" w:eastAsiaTheme="minorEastAsia" w:cstheme="minorEastAsia"/>
          <w:sz w:val="24"/>
          <w:szCs w:val="24"/>
          <w:u w:val="none" w:color="auto"/>
        </w:rPr>
        <w:t>30</w:t>
      </w:r>
      <w:r>
        <w:rPr>
          <w:rFonts w:hint="eastAsia" w:asciiTheme="minorEastAsia" w:hAnsiTheme="minorEastAsia" w:eastAsiaTheme="minorEastAsia" w:cstheme="minorEastAsia"/>
          <w:sz w:val="24"/>
          <w:szCs w:val="24"/>
        </w:rPr>
        <w:t>日内缴纳。</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诉讼相关费用承担</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若因</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未履行合同项下义务导致</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所产生的一切损失（包括但不限于人身财产的损失、律师费、诉讼费、保全费、鉴定费等），均由</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承担赔偿责任。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2）合同</w:t>
      </w:r>
      <w:r>
        <w:rPr>
          <w:rFonts w:hint="eastAsia" w:asciiTheme="minorEastAsia" w:hAnsiTheme="minorEastAsia" w:eastAsiaTheme="minorEastAsia" w:cstheme="minorEastAsia"/>
          <w:sz w:val="24"/>
          <w:szCs w:val="24"/>
        </w:rPr>
        <w:t>约定的</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应支付给</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的违约金、赔偿金直接从</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应支付</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的费用中扣除，不足部分，</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应自收到</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通知之日起</w:t>
      </w:r>
      <w:r>
        <w:rPr>
          <w:rFonts w:hint="eastAsia" w:asciiTheme="minorEastAsia" w:hAnsiTheme="minorEastAsia" w:eastAsiaTheme="minorEastAsia" w:cstheme="minorEastAsia"/>
          <w:sz w:val="24"/>
          <w:szCs w:val="24"/>
          <w:u w:val="none" w:color="auto"/>
        </w:rPr>
        <w:t>30</w:t>
      </w:r>
      <w:r>
        <w:rPr>
          <w:rFonts w:hint="eastAsia" w:asciiTheme="minorEastAsia" w:hAnsiTheme="minorEastAsia" w:eastAsiaTheme="minorEastAsia" w:cstheme="minorEastAsia"/>
          <w:sz w:val="24"/>
          <w:szCs w:val="24"/>
        </w:rPr>
        <w:t>日内缴纳，否则</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将依法追究</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的相关法律责任。</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firstLine="472" w:firstLineChars="196"/>
        <w:textAlignment w:val="auto"/>
        <w:rPr>
          <w:rStyle w:val="23"/>
          <w:rFonts w:hint="eastAsia" w:ascii="宋体" w:hAnsi="宋体" w:cs="宋体"/>
          <w:lang w:val="en-US" w:eastAsia="zh-CN"/>
        </w:rPr>
      </w:pPr>
      <w:r>
        <w:rPr>
          <w:rStyle w:val="23"/>
          <w:rFonts w:hint="eastAsia" w:ascii="宋体" w:hAnsi="宋体" w:cs="宋体"/>
          <w:lang w:val="en-US" w:eastAsia="zh-CN"/>
        </w:rPr>
        <w:t>9、违约终止合同</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1在合同履行期间，若遇政府部门或上级单位出台有关该项目的政策调整，继续履行合同将违反相关政策文件要求的，</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须提前30日通知</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终止合同，因此造成的合同解除</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不承担违约责任。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en-US" w:eastAsia="zh-CN"/>
        </w:rPr>
        <w:t>9.</w:t>
      </w: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sz w:val="24"/>
          <w:szCs w:val="24"/>
        </w:rPr>
        <w:t>有下列情形之一，</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有权单方解除合同并不退还履约保证金，</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还需向</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支付本合同金额30%的违约金：</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一年内出现</w:t>
      </w:r>
      <w:r>
        <w:rPr>
          <w:rFonts w:hint="eastAsia" w:asciiTheme="minorEastAsia" w:hAnsiTheme="minorEastAsia" w:eastAsiaTheme="minorEastAsia" w:cstheme="minorEastAsia"/>
          <w:sz w:val="24"/>
          <w:szCs w:val="24"/>
          <w:u w:val="single"/>
        </w:rPr>
        <w:t xml:space="preserve">  3</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次及以上迟延交货；</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一次迟延交货</w:t>
      </w:r>
      <w:r>
        <w:rPr>
          <w:rFonts w:hint="eastAsia" w:asciiTheme="minorEastAsia" w:hAnsiTheme="minorEastAsia" w:eastAsiaTheme="minorEastAsia" w:cstheme="minorEastAsia"/>
          <w:sz w:val="24"/>
          <w:szCs w:val="24"/>
          <w:highlight w:val="none"/>
        </w:rPr>
        <w:t>超过</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7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天的；</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提供的货物质量不符合合同约定且拒绝退货退换货的；</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一年内出现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3</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次以上提供的货物质量不符合合同约定的；</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无故拒绝履行合同；</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（6）若</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配送货品存在假冒伪劣产品、质量缺陷产品、以劣充优、以假充真等情况；</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firstLine="472" w:firstLineChars="196"/>
        <w:textAlignment w:val="auto"/>
        <w:rPr>
          <w:rStyle w:val="23"/>
          <w:rFonts w:hint="eastAsia" w:ascii="宋体" w:hAnsi="宋体" w:cs="宋体"/>
          <w:lang w:val="en-US" w:eastAsia="zh-CN"/>
        </w:rPr>
      </w:pPr>
      <w:r>
        <w:rPr>
          <w:rStyle w:val="23"/>
          <w:rFonts w:hint="eastAsia" w:ascii="宋体" w:hAnsi="宋体" w:cs="宋体"/>
          <w:lang w:val="en-US" w:eastAsia="zh-CN"/>
        </w:rPr>
        <w:t>10、不可抗力</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2合同中的不可抗力指不能预见、不能避免并不能克服的客观情况。包括但不限于：自然灾害如地震、台风、洪水、火灾；政府行为、法律规定或其适用的变化或者其他任何无法预见、避免或者控制的事件。</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firstLine="472" w:firstLineChars="196"/>
        <w:textAlignment w:val="auto"/>
        <w:rPr>
          <w:rStyle w:val="23"/>
          <w:rFonts w:hint="eastAsia" w:ascii="宋体" w:hAnsi="宋体" w:cs="宋体"/>
          <w:lang w:val="en-US" w:eastAsia="zh-CN"/>
        </w:rPr>
      </w:pPr>
      <w:r>
        <w:rPr>
          <w:rStyle w:val="23"/>
          <w:rFonts w:hint="eastAsia" w:ascii="宋体" w:hAnsi="宋体" w:cs="宋体"/>
          <w:lang w:val="en-US" w:eastAsia="zh-CN"/>
        </w:rPr>
        <w:t>11、专利权及知识产权</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须保障</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在使用该货物或其任何一部分时不受到第三方关于侵犯专利权、商标权或工业设计权等知识产权的指控。如果任何第三方提出侵权指控与</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无关，</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须与第三方交涉并承担可能发生的责任与一切费用。</w:t>
      </w:r>
      <w:r>
        <w:rPr>
          <w:rFonts w:hint="eastAsia" w:asciiTheme="minorEastAsia" w:hAnsiTheme="minorEastAsia" w:eastAsiaTheme="minorEastAsia" w:cstheme="minorEastAsia"/>
          <w:sz w:val="24"/>
          <w:szCs w:val="24"/>
          <w:lang w:val="en-US" w:eastAsia="zh-CN"/>
        </w:rPr>
        <w:t>如福清监狱因此而遭致损失的，成交供应商应赔偿该损失。</w:t>
      </w:r>
      <w:r>
        <w:rPr>
          <w:rFonts w:hint="eastAsia" w:asciiTheme="minorEastAsia" w:hAnsiTheme="minorEastAsia" w:eastAsiaTheme="minorEastAsia" w:cstheme="minorEastAsia"/>
          <w:sz w:val="24"/>
          <w:szCs w:val="24"/>
          <w:lang w:val="en-US" w:eastAsia="zh-Hans"/>
        </w:rPr>
        <w:t>如果发生以上情况</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CN"/>
        </w:rPr>
        <w:t>福清监狱</w:t>
      </w:r>
      <w:r>
        <w:rPr>
          <w:rFonts w:hint="eastAsia" w:asciiTheme="minorEastAsia" w:hAnsiTheme="minorEastAsia" w:eastAsiaTheme="minorEastAsia" w:cstheme="minorEastAsia"/>
          <w:sz w:val="24"/>
          <w:szCs w:val="24"/>
          <w:lang w:val="en-US" w:eastAsia="zh-Hans"/>
        </w:rPr>
        <w:t>先行垫付情况下</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则</w:t>
      </w:r>
      <w:r>
        <w:rPr>
          <w:rFonts w:hint="eastAsia" w:asciiTheme="minorEastAsia" w:hAnsiTheme="minorEastAsia" w:eastAsiaTheme="minorEastAsia" w:cstheme="minorEastAsia"/>
          <w:sz w:val="24"/>
          <w:szCs w:val="24"/>
          <w:lang w:val="en-US" w:eastAsia="zh-CN"/>
        </w:rPr>
        <w:t>福清监狱</w:t>
      </w:r>
      <w:r>
        <w:rPr>
          <w:rFonts w:hint="eastAsia" w:asciiTheme="minorEastAsia" w:hAnsiTheme="minorEastAsia" w:eastAsiaTheme="minorEastAsia" w:cstheme="minorEastAsia"/>
          <w:sz w:val="24"/>
          <w:szCs w:val="24"/>
          <w:lang w:val="en-US" w:eastAsia="zh-Hans"/>
        </w:rPr>
        <w:t>有权向</w:t>
      </w:r>
      <w:r>
        <w:rPr>
          <w:rFonts w:hint="eastAsia" w:asciiTheme="minorEastAsia" w:hAnsiTheme="minorEastAsia" w:eastAsiaTheme="minorEastAsia" w:cstheme="minorEastAsia"/>
          <w:sz w:val="24"/>
          <w:szCs w:val="24"/>
          <w:lang w:val="en-US" w:eastAsia="zh-CN"/>
        </w:rPr>
        <w:t>成交供应商</w:t>
      </w:r>
      <w:r>
        <w:rPr>
          <w:rFonts w:hint="eastAsia" w:asciiTheme="minorEastAsia" w:hAnsiTheme="minorEastAsia" w:eastAsiaTheme="minorEastAsia" w:cstheme="minorEastAsia"/>
          <w:sz w:val="24"/>
          <w:szCs w:val="24"/>
          <w:lang w:val="en-US" w:eastAsia="zh-Hans"/>
        </w:rPr>
        <w:t>进行追偿</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并要求</w:t>
      </w:r>
      <w:r>
        <w:rPr>
          <w:rFonts w:hint="eastAsia" w:asciiTheme="minorEastAsia" w:hAnsiTheme="minorEastAsia" w:eastAsiaTheme="minorEastAsia" w:cstheme="minorEastAsia"/>
          <w:sz w:val="24"/>
          <w:szCs w:val="24"/>
          <w:lang w:val="en-US" w:eastAsia="zh-CN"/>
        </w:rPr>
        <w:t>成交供应商</w:t>
      </w:r>
      <w:r>
        <w:rPr>
          <w:rFonts w:hint="eastAsia" w:asciiTheme="minorEastAsia" w:hAnsiTheme="minorEastAsia" w:eastAsiaTheme="minorEastAsia" w:cstheme="minorEastAsia"/>
          <w:sz w:val="24"/>
          <w:szCs w:val="24"/>
          <w:lang w:val="en-US" w:eastAsia="zh-Hans"/>
        </w:rPr>
        <w:t>按照合同总金额</w:t>
      </w:r>
      <w:r>
        <w:rPr>
          <w:rFonts w:hint="eastAsia" w:asciiTheme="minorEastAsia" w:hAnsiTheme="minorEastAsia" w:eastAsiaTheme="minorEastAsia" w:cstheme="minorEastAsia"/>
          <w:sz w:val="24"/>
          <w:szCs w:val="24"/>
          <w:lang w:eastAsia="zh-Hans"/>
        </w:rPr>
        <w:t>30%</w:t>
      </w:r>
      <w:r>
        <w:rPr>
          <w:rFonts w:hint="eastAsia" w:asciiTheme="minorEastAsia" w:hAnsiTheme="minorEastAsia" w:eastAsiaTheme="minorEastAsia" w:cstheme="minorEastAsia"/>
          <w:sz w:val="24"/>
          <w:szCs w:val="24"/>
          <w:lang w:val="en-US" w:eastAsia="zh-Hans"/>
        </w:rPr>
        <w:t>承担违约责任</w:t>
      </w:r>
      <w:r>
        <w:rPr>
          <w:rFonts w:hint="eastAsia" w:asciiTheme="minorEastAsia" w:hAnsiTheme="minorEastAsia" w:eastAsiaTheme="minorEastAsia" w:cstheme="minorEastAsia"/>
          <w:sz w:val="24"/>
          <w:szCs w:val="24"/>
          <w:lang w:eastAsia="zh-Hans"/>
        </w:rPr>
        <w:t>。</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firstLine="472" w:firstLineChars="196"/>
        <w:textAlignment w:val="auto"/>
        <w:rPr>
          <w:rStyle w:val="23"/>
          <w:rFonts w:hint="eastAsia" w:ascii="宋体" w:hAnsi="宋体" w:cs="宋体"/>
          <w:lang w:val="en-US" w:eastAsia="zh-CN"/>
        </w:rPr>
      </w:pPr>
      <w:r>
        <w:rPr>
          <w:rStyle w:val="23"/>
          <w:rFonts w:hint="eastAsia" w:ascii="宋体" w:hAnsi="宋体" w:cs="宋体"/>
          <w:lang w:val="en-US" w:eastAsia="zh-CN"/>
        </w:rPr>
        <w:t>12、保密条款</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应当对合同的内容、因履行合同或在合同期间知悉的或收到的</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的财务、技术、产品信息、</w:t>
      </w:r>
      <w:r>
        <w:rPr>
          <w:rFonts w:hint="eastAsia" w:asciiTheme="minorEastAsia" w:hAnsiTheme="minorEastAsia" w:eastAsiaTheme="minorEastAsia" w:cstheme="minorEastAsia"/>
          <w:sz w:val="24"/>
          <w:szCs w:val="24"/>
          <w:lang w:val="en-US" w:eastAsia="zh-CN"/>
        </w:rPr>
        <w:t>人员</w:t>
      </w:r>
      <w:r>
        <w:rPr>
          <w:rFonts w:hint="eastAsia" w:asciiTheme="minorEastAsia" w:hAnsiTheme="minorEastAsia" w:eastAsiaTheme="minorEastAsia" w:cstheme="minorEastAsia"/>
          <w:sz w:val="24"/>
          <w:szCs w:val="24"/>
        </w:rPr>
        <w:t>资料或其他工作上的文件资料、工作内容等予以保密，不得向合同以外的任何第三方披露，签订并严格执行《单位保密承诺书》；</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进入</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工作区域的工作人员需签订《个人保密承诺书》，严格履行保密义务。</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违反本条约定泄露</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的涉密信息的，应承担相应的法律责任，</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将依据有关法律法规进行追责处理，并有权要求</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支付合同总价的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0％作为违约金，给</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造成损失的，还应承担赔偿责任。</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12.3</w:t>
      </w:r>
      <w:r>
        <w:rPr>
          <w:rFonts w:hint="eastAsia" w:asciiTheme="minorEastAsia" w:hAnsiTheme="minorEastAsia" w:eastAsiaTheme="minorEastAsia" w:cstheme="minorEastAsia"/>
          <w:sz w:val="24"/>
          <w:szCs w:val="24"/>
        </w:rPr>
        <w:t>本条款不因合同届满或解除而失效。</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firstLine="472" w:firstLineChars="196"/>
        <w:textAlignment w:val="auto"/>
        <w:rPr>
          <w:rStyle w:val="23"/>
          <w:rFonts w:hint="eastAsia" w:ascii="宋体" w:hAnsi="宋体" w:cs="宋体"/>
          <w:lang w:val="en-US" w:eastAsia="zh-CN"/>
        </w:rPr>
      </w:pPr>
      <w:r>
        <w:rPr>
          <w:rStyle w:val="23"/>
          <w:rFonts w:hint="eastAsia" w:ascii="宋体" w:hAnsi="宋体" w:cs="宋体"/>
          <w:lang w:val="en-US" w:eastAsia="zh-CN"/>
        </w:rPr>
        <w:t>13、廉政条款</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及其工作人员不得有以任何形式行贿</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工作人员的行为，若发现并被核查属实的，</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有权解除合同且不退还履约保证金，情节严重的，</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及其工作人员还要承担相应的法律责任；</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及其工作人员不得索要或接受</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的礼金及吃请等，如有违反廉政纪律等行为的，依据有关规定给予党纪、政纪或组织处理，情节严重的，还应承担相应的法律责任。</w:t>
      </w:r>
    </w:p>
    <w:p>
      <w:pPr>
        <w:pStyle w:val="17"/>
        <w:keepNext w:val="0"/>
        <w:keepLines w:val="0"/>
        <w:pageBreakBefore w:val="0"/>
        <w:widowControl/>
        <w:kinsoku/>
        <w:wordWrap/>
        <w:overflowPunct/>
        <w:topLinePunct w:val="0"/>
        <w:autoSpaceDE/>
        <w:autoSpaceDN/>
        <w:bidi w:val="0"/>
        <w:snapToGrid/>
        <w:spacing w:before="0" w:beforeAutospacing="0" w:after="0" w:afterAutospacing="0" w:line="400" w:lineRule="exact"/>
        <w:ind w:firstLine="472" w:firstLineChars="196"/>
        <w:textAlignment w:val="auto"/>
        <w:rPr>
          <w:rStyle w:val="23"/>
          <w:rFonts w:hint="eastAsia" w:ascii="宋体" w:hAnsi="宋体" w:cs="宋体"/>
          <w:lang w:val="en-US" w:eastAsia="zh-CN"/>
        </w:rPr>
      </w:pPr>
      <w:r>
        <w:rPr>
          <w:rStyle w:val="23"/>
          <w:rFonts w:hint="eastAsia" w:ascii="宋体" w:hAnsi="宋体" w:cs="宋体"/>
          <w:lang w:val="en-US" w:eastAsia="zh-CN"/>
        </w:rPr>
        <w:t>14合同纠纷处理方式</w:t>
      </w:r>
    </w:p>
    <w:p>
      <w:pPr>
        <w:keepNext w:val="0"/>
        <w:keepLines w:val="0"/>
        <w:pageBreakBefore w:val="0"/>
        <w:widowControl w:val="0"/>
        <w:kinsoku/>
        <w:wordWrap/>
        <w:overflowPunct/>
        <w:topLinePunct w:val="0"/>
        <w:autoSpaceDE/>
        <w:autoSpaceDN/>
        <w:bidi w:val="0"/>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14</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合同争议处理方式</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采购人与成交供应商</w:t>
      </w:r>
      <w:r>
        <w:rPr>
          <w:rFonts w:hint="eastAsia" w:asciiTheme="minorEastAsia" w:hAnsiTheme="minorEastAsia" w:eastAsiaTheme="minorEastAsia" w:cstheme="minorEastAsia"/>
          <w:sz w:val="24"/>
          <w:szCs w:val="24"/>
        </w:rPr>
        <w:t>双方必须认真履行合同条款。因合同或与合同有关的一切事项发生争议，由双方友好协商解决，协商不成的，任何一方均可向</w:t>
      </w:r>
      <w:r>
        <w:rPr>
          <w:rFonts w:hint="eastAsia" w:asciiTheme="minorEastAsia" w:hAnsiTheme="minorEastAsia" w:eastAsiaTheme="minorEastAsia" w:cstheme="minorEastAsia"/>
          <w:sz w:val="24"/>
          <w:szCs w:val="24"/>
          <w:lang w:eastAsia="zh-CN"/>
        </w:rPr>
        <w:t>福清监狱</w:t>
      </w:r>
      <w:r>
        <w:rPr>
          <w:rFonts w:hint="eastAsia" w:asciiTheme="minorEastAsia" w:hAnsiTheme="minorEastAsia" w:eastAsiaTheme="minorEastAsia" w:cstheme="minorEastAsia"/>
          <w:sz w:val="24"/>
          <w:szCs w:val="24"/>
        </w:rPr>
        <w:t>所在地人民法院提起诉讼。由败诉方承担律师费，诉讼费、保全费、交通费等相关合理费用。</w:t>
      </w:r>
    </w:p>
    <w:p>
      <w:pPr>
        <w:pStyle w:val="8"/>
        <w:keepNext w:val="0"/>
        <w:keepLines w:val="0"/>
        <w:pageBreakBefore w:val="0"/>
        <w:widowControl w:val="0"/>
        <w:kinsoku/>
        <w:wordWrap/>
        <w:overflowPunct/>
        <w:topLinePunct w:val="0"/>
        <w:autoSpaceDE/>
        <w:autoSpaceDN/>
        <w:bidi w:val="0"/>
        <w:adjustRightInd w:val="0"/>
        <w:snapToGrid w:val="0"/>
        <w:spacing w:after="0"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14.</w:t>
      </w:r>
      <w:r>
        <w:rPr>
          <w:rFonts w:hint="eastAsia" w:asciiTheme="minorEastAsia" w:hAnsiTheme="minorEastAsia" w:eastAsiaTheme="minorEastAsia" w:cstheme="minorEastAsia"/>
          <w:b/>
          <w:sz w:val="24"/>
          <w:szCs w:val="24"/>
        </w:rPr>
        <w:t>2合同补充和修改</w:t>
      </w:r>
    </w:p>
    <w:p>
      <w:pPr>
        <w:pStyle w:val="8"/>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合同生效后，双方对合同内容的变更或补充应采取书面形式，并经双方签字并盖章确认。</w:t>
      </w:r>
    </w:p>
    <w:p>
      <w:pPr>
        <w:snapToGrid w:val="0"/>
        <w:spacing w:line="400" w:lineRule="exact"/>
        <w:ind w:right="168" w:rightChars="80" w:firstLine="482" w:firstLineChars="200"/>
        <w:outlineLvl w:val="1"/>
        <w:rPr>
          <w:rFonts w:hint="eastAsia" w:ascii="宋体" w:hAnsi="宋体" w:cs="宋体"/>
          <w:bCs/>
          <w:sz w:val="24"/>
        </w:rPr>
      </w:pPr>
      <w:r>
        <w:rPr>
          <w:rFonts w:hint="eastAsia" w:asciiTheme="minorEastAsia" w:hAnsiTheme="minorEastAsia" w:eastAsiaTheme="minorEastAsia" w:cstheme="minorEastAsia"/>
          <w:b/>
          <w:kern w:val="2"/>
          <w:sz w:val="24"/>
          <w:szCs w:val="24"/>
          <w:lang w:val="en-US" w:eastAsia="zh-CN" w:bidi="ar-SA"/>
        </w:rPr>
        <w:t>15、合同签订时限：</w:t>
      </w:r>
      <w:r>
        <w:rPr>
          <w:rFonts w:hint="eastAsia" w:ascii="宋体" w:hAnsi="宋体" w:cs="宋体"/>
          <w:bCs/>
          <w:sz w:val="24"/>
        </w:rPr>
        <w:t>自成交通知书发出之日起30个日历日内。</w:t>
      </w:r>
    </w:p>
    <w:p>
      <w:pPr>
        <w:snapToGrid w:val="0"/>
        <w:spacing w:line="400" w:lineRule="exact"/>
        <w:ind w:right="168" w:rightChars="80" w:firstLine="482" w:firstLineChars="200"/>
        <w:outlineLvl w:val="1"/>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16、本竞价文件未明确的其它约定事项或条款，待采购人与成交供应商签订合同时，由双方协商订立。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w:t>
      </w:r>
      <w:r>
        <w:rPr>
          <w:rFonts w:hint="eastAsia" w:ascii="宋体" w:hAnsi="宋体"/>
          <w:b/>
          <w:bCs/>
          <w:sz w:val="24"/>
          <w:szCs w:val="24"/>
          <w:lang w:val="en-US" w:eastAsia="zh-CN"/>
        </w:rPr>
        <w:t>四</w:t>
      </w:r>
      <w:r>
        <w:rPr>
          <w:rFonts w:hint="eastAsia" w:ascii="宋体" w:hAnsi="宋体"/>
          <w:b/>
          <w:bCs/>
          <w:sz w:val="24"/>
          <w:szCs w:val="24"/>
        </w:rPr>
        <w:t>）采购代理服务费</w:t>
      </w:r>
    </w:p>
    <w:p>
      <w:pPr>
        <w:spacing w:line="400" w:lineRule="exact"/>
        <w:ind w:firstLine="480" w:firstLineChars="200"/>
        <w:jc w:val="left"/>
        <w:rPr>
          <w:rFonts w:hint="eastAsia" w:ascii="宋体" w:hAnsi="宋体"/>
          <w:b/>
          <w:sz w:val="28"/>
          <w:szCs w:val="28"/>
        </w:rPr>
      </w:pPr>
      <w:r>
        <w:rPr>
          <w:rFonts w:hint="eastAsia" w:ascii="宋体" w:hAnsi="宋体" w:cs="宋体"/>
          <w:sz w:val="24"/>
        </w:rPr>
        <w:t>1、本项目采购代理服务费以预算金额的1%向成交供应商收取。代理服务费缴交账户信息：账户名：福建省智信招标有限公司，账号：087739120100304037933，开户行：中国光大银行福州市杨桥支行。</w:t>
      </w:r>
      <w:r>
        <w:rPr>
          <w:rFonts w:hint="eastAsia" w:ascii="宋体" w:hAnsi="宋体"/>
          <w:b/>
          <w:sz w:val="28"/>
          <w:szCs w:val="28"/>
        </w:rPr>
        <w:br w:type="page"/>
      </w:r>
    </w:p>
    <w:p>
      <w:pPr>
        <w:spacing w:line="400" w:lineRule="exact"/>
        <w:ind w:firstLine="562" w:firstLineChars="200"/>
        <w:jc w:val="center"/>
        <w:rPr>
          <w:rFonts w:ascii="宋体" w:hAnsi="宋体"/>
          <w:b/>
          <w:sz w:val="28"/>
          <w:szCs w:val="28"/>
        </w:rPr>
      </w:pP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1、有能力提供竞价公告所述货物及服务的法人、其他组织或者自然人均可能成为合格的竞价人，</w:t>
      </w:r>
      <w:r>
        <w:rPr>
          <w:rFonts w:hint="eastAsia" w:ascii="新宋体" w:hAnsi="新宋体" w:eastAsia="新宋体"/>
          <w:sz w:val="24"/>
          <w:szCs w:val="24"/>
        </w:rPr>
        <w:t>提供有效的营业执照复印件或其他相应的证明文件</w:t>
      </w:r>
      <w:r>
        <w:rPr>
          <w:rFonts w:hint="eastAsia" w:ascii="宋体" w:hAnsi="宋体" w:cs="宋体"/>
          <w:bCs/>
          <w:kern w:val="0"/>
          <w:sz w:val="24"/>
          <w:szCs w:val="24"/>
        </w:rPr>
        <w:t>；</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2、竞价人须提供社会保障资金的相关材料；</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3、竞价人须提供无行贿犯罪承诺函；</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4、竞价人须提供网上竞价承诺书。</w:t>
      </w:r>
    </w:p>
    <w:p>
      <w:pPr>
        <w:widowControl/>
        <w:spacing w:line="375" w:lineRule="atLeast"/>
        <w:jc w:val="left"/>
        <w:rPr>
          <w:rFonts w:ascii="宋体" w:hAnsi="宋体" w:cs="宋体"/>
          <w:b/>
          <w:kern w:val="0"/>
          <w:sz w:val="24"/>
          <w:szCs w:val="24"/>
        </w:rPr>
      </w:pPr>
      <w:r>
        <w:rPr>
          <w:rFonts w:hint="eastAsia" w:ascii="宋体" w:hAnsi="宋体" w:cs="宋体"/>
          <w:bCs/>
          <w:kern w:val="0"/>
          <w:sz w:val="24"/>
          <w:szCs w:val="24"/>
        </w:rPr>
        <w:t>注：(1)社会保障资金的相关材料，是指提交报名截止时间前六个月任一个月（不含报名截止时间的当月）的缴纳社会保险的凭据；或者提供不需要缴纳社会保障资金的相应证明文件或具备依法缴纳社会保障资金的承诺函。(2)提供无行贿犯罪承诺函（书面说明并加盖竞价人公章）。</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spacing w:line="375" w:lineRule="atLeast"/>
        <w:jc w:val="left"/>
      </w:pPr>
      <w:r>
        <w:rPr>
          <w:rFonts w:hint="eastAsia" w:ascii="宋体" w:hAnsi="宋体" w:cs="宋体"/>
          <w:bCs/>
          <w:kern w:val="0"/>
          <w:sz w:val="24"/>
          <w:szCs w:val="24"/>
        </w:rPr>
        <w:t>竞价人在报名截止时间前须提交“合格的竞价人”要求的所有相关材料并加盖公章，并同时提供竞价保证金凭证复印件加盖公章。未按以上要求提交报名材料的竞价人，将导致其竞价资格被拒绝。</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hint="eastAsia" w:ascii="宋体" w:hAnsi="宋体" w:cs="宋体"/>
          <w:bCs/>
          <w:kern w:val="0"/>
          <w:sz w:val="24"/>
        </w:rPr>
      </w:pPr>
      <w:r>
        <w:rPr>
          <w:rFonts w:hint="eastAsia" w:ascii="宋体" w:hAnsi="宋体" w:cs="宋体"/>
          <w:bCs/>
          <w:kern w:val="0"/>
          <w:sz w:val="24"/>
          <w:szCs w:val="24"/>
        </w:rPr>
        <w:t>1、本项目</w:t>
      </w:r>
      <w:r>
        <w:rPr>
          <w:rFonts w:hint="eastAsia" w:ascii="宋体" w:hAnsi="宋体" w:cs="宋体"/>
          <w:b/>
          <w:bCs/>
          <w:kern w:val="0"/>
          <w:sz w:val="24"/>
          <w:szCs w:val="24"/>
        </w:rPr>
        <w:t>未</w:t>
      </w:r>
      <w:r>
        <w:rPr>
          <w:rFonts w:hint="eastAsia" w:ascii="宋体" w:hAnsi="宋体" w:cs="宋体"/>
          <w:bCs/>
          <w:kern w:val="0"/>
          <w:sz w:val="24"/>
          <w:szCs w:val="24"/>
        </w:rPr>
        <w:t>经过进口产品论证，采购的货物为国内产品，不接受进口产品竞价。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3、竞价人自行承担所有参与报价的全部相关费用，本项目符合采购需求的合格竞价人不足三家的，网上竞价无效。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375" w:lineRule="atLeast"/>
        <w:jc w:val="left"/>
      </w:pPr>
      <w:r>
        <w:rPr>
          <w:rFonts w:hint="eastAsia" w:ascii="宋体" w:hAnsi="宋体" w:cs="宋体"/>
          <w:bCs/>
          <w:kern w:val="0"/>
          <w:sz w:val="24"/>
          <w:szCs w:val="24"/>
        </w:rPr>
        <w:t>1、采购代理机构将采购人提出的采购需求在中国政府采购网、福建省智信招标有限公司(http://www.fjzxzb.com)进行发布。网上竞价的报价时限为</w:t>
      </w:r>
      <w:r>
        <w:rPr>
          <w:rFonts w:hint="eastAsia" w:ascii="宋体" w:hAnsi="宋体" w:cs="宋体"/>
          <w:bCs/>
          <w:kern w:val="0"/>
          <w:sz w:val="24"/>
          <w:szCs w:val="24"/>
          <w:u w:val="single"/>
        </w:rPr>
        <w:t>竞价公告截止后两个小时内</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Cs/>
          <w:kern w:val="0"/>
          <w:sz w:val="24"/>
          <w:szCs w:val="24"/>
        </w:rPr>
        <w:t>竞价人首次提交的报价总价</w:t>
      </w:r>
      <w:r>
        <w:rPr>
          <w:rFonts w:hint="eastAsia" w:ascii="宋体" w:hAnsi="宋体" w:cs="宋体"/>
          <w:bCs/>
          <w:kern w:val="0"/>
          <w:sz w:val="24"/>
          <w:szCs w:val="24"/>
        </w:rPr>
        <w:t>不能超过竞价文件的总价</w:t>
      </w:r>
      <w:r>
        <w:rPr>
          <w:rFonts w:ascii="宋体" w:hAnsi="宋体" w:cs="宋体"/>
          <w:bCs/>
          <w:kern w:val="0"/>
          <w:sz w:val="24"/>
          <w:szCs w:val="24"/>
        </w:rPr>
        <w:t>最高限价，报价单价不能超过竞价文件的单价最高限价，否则，视为无效报价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w:t>
      </w:r>
      <w:r>
        <w:rPr>
          <w:rFonts w:hint="eastAsia" w:ascii="宋体" w:hAnsi="宋体"/>
          <w:sz w:val="24"/>
          <w:szCs w:val="24"/>
        </w:rPr>
        <w:t>福建省智信招标有限公司</w:t>
      </w:r>
      <w:r>
        <w:rPr>
          <w:rFonts w:hint="eastAsia" w:ascii="宋体" w:hAnsi="宋体" w:cs="宋体"/>
          <w:bCs/>
          <w:kern w:val="0"/>
          <w:sz w:val="24"/>
          <w:szCs w:val="24"/>
        </w:rPr>
        <w:t>官网上发布成交公告。公告期限为公告之日起1个工作日。</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w:t>
      </w:r>
      <w:bookmarkStart w:id="1" w:name="_GoBack"/>
      <w:r>
        <w:rPr>
          <w:rFonts w:hint="eastAsia" w:ascii="宋体" w:hAnsi="宋体" w:cs="宋体"/>
          <w:b/>
          <w:kern w:val="0"/>
          <w:sz w:val="24"/>
          <w:szCs w:val="24"/>
        </w:rPr>
        <w:t>保证金</w:t>
      </w:r>
      <w:bookmarkEnd w:id="1"/>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1、竞价保证金：人民币</w:t>
      </w:r>
      <w:r>
        <w:rPr>
          <w:rFonts w:hint="eastAsia" w:ascii="宋体" w:hAnsi="宋体" w:cs="宋体"/>
          <w:bCs/>
          <w:kern w:val="0"/>
          <w:sz w:val="24"/>
          <w:szCs w:val="24"/>
          <w:lang w:val="en-US" w:eastAsia="zh-CN"/>
        </w:rPr>
        <w:t>15</w:t>
      </w:r>
      <w:r>
        <w:rPr>
          <w:rFonts w:hint="eastAsia" w:ascii="宋体" w:hAnsi="宋体" w:cs="宋体"/>
          <w:bCs/>
          <w:kern w:val="0"/>
          <w:sz w:val="24"/>
          <w:szCs w:val="24"/>
        </w:rPr>
        <w:t>00元整，以银行转账、电汇等非现金形式提交(不接受现金、现金存款形式提交)；竞价保证金不是以竞价人名义提交的，将导致其竞价资格被拒绝。竞价人的竞价保证金未在报名截止时间前到达指定账户的将导致其竞价资格被拒绝。（缴纳保证金账户信息：开 户 名：福建省智信招标有限公司；开户行：中国光大银行福州市杨桥支行；账号：087739120100304037933）</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widowControl/>
        <w:spacing w:line="375" w:lineRule="atLeast"/>
        <w:jc w:val="left"/>
        <w:rPr>
          <w:rFonts w:hint="eastAsia" w:ascii="宋体" w:hAnsi="宋体" w:cs="宋体"/>
          <w:b/>
          <w:kern w:val="0"/>
          <w:sz w:val="24"/>
          <w:szCs w:val="24"/>
        </w:rPr>
      </w:pPr>
      <w:r>
        <w:rPr>
          <w:rFonts w:hint="eastAsia" w:ascii="宋体" w:hAnsi="宋体" w:cs="宋体"/>
          <w:b/>
          <w:kern w:val="0"/>
          <w:sz w:val="24"/>
          <w:szCs w:val="24"/>
        </w:rPr>
        <w:t>七、质疑</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4、竞价人提出质疑应当提交质疑函和必要的证明材料。质疑函应当包括下列内容:</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highlight w:val="none"/>
        </w:rPr>
      </w:pPr>
      <w:r>
        <w:rPr>
          <w:rFonts w:ascii="宋体" w:hAnsi="宋体" w:cs="宋体"/>
          <w:bCs/>
          <w:kern w:val="0"/>
          <w:sz w:val="24"/>
          <w:szCs w:val="24"/>
        </w:rPr>
        <w:br w:type="page"/>
      </w:r>
      <w:r>
        <w:rPr>
          <w:rFonts w:hint="eastAsia" w:ascii="宋体" w:hAnsi="宋体"/>
          <w:b/>
          <w:sz w:val="28"/>
          <w:szCs w:val="28"/>
          <w:highlight w:val="none"/>
        </w:rPr>
        <w:t>第四章  签订合同</w:t>
      </w:r>
    </w:p>
    <w:p>
      <w:pPr>
        <w:spacing w:line="460" w:lineRule="exact"/>
        <w:rPr>
          <w:rFonts w:ascii="宋体" w:hAnsi="宋体"/>
          <w:sz w:val="24"/>
          <w:szCs w:val="24"/>
        </w:rPr>
      </w:pPr>
      <w:r>
        <w:rPr>
          <w:rFonts w:hint="eastAsia" w:ascii="宋体" w:hAnsi="宋体"/>
          <w:sz w:val="24"/>
          <w:szCs w:val="24"/>
          <w:highlight w:val="none"/>
        </w:rPr>
        <w:t>1、采购人、成交供应商在《成交通知书》发出之日起30日内，根</w:t>
      </w:r>
      <w:r>
        <w:rPr>
          <w:rFonts w:hint="eastAsia" w:ascii="宋体" w:hAnsi="宋体"/>
          <w:sz w:val="24"/>
          <w:szCs w:val="24"/>
        </w:rPr>
        <w:t>据竞价文件确定的事项和成交供应商报价文件签订合同。若成交供应商自愿放弃成交资格或未在规定时间内签订合同，采购人有权没收竞价保证金，并保留追究其法律责任的权利。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3"/>
          <w:rFonts w:ascii="宋体" w:hAnsi="宋体"/>
          <w:sz w:val="28"/>
          <w:szCs w:val="28"/>
        </w:rPr>
        <w:t>采购合同（参考文本）</w:t>
      </w:r>
    </w:p>
    <w:p>
      <w:pPr>
        <w:pStyle w:val="17"/>
        <w:spacing w:before="0" w:beforeAutospacing="0" w:after="0" w:afterAutospacing="0" w:line="360" w:lineRule="auto"/>
        <w:jc w:val="center"/>
        <w:rPr>
          <w:rFonts w:ascii="宋体" w:hAnsi="宋体"/>
          <w:b/>
          <w:sz w:val="28"/>
          <w:szCs w:val="28"/>
        </w:rPr>
      </w:pPr>
      <w:r>
        <w:rPr>
          <w:rStyle w:val="23"/>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3"/>
          <w:rFonts w:ascii="宋体" w:hAnsi="宋体"/>
          <w:szCs w:val="24"/>
        </w:rPr>
        <w:t>1、签订合同应遵守</w:t>
      </w:r>
      <w:r>
        <w:rPr>
          <w:rStyle w:val="23"/>
          <w:rFonts w:hint="eastAsia" w:ascii="宋体" w:hAnsi="宋体"/>
          <w:szCs w:val="24"/>
        </w:rPr>
        <w:t>《中华人民共和国政府采购法》、《中华人民共和国民法典》</w:t>
      </w:r>
      <w:r>
        <w:rPr>
          <w:rStyle w:val="23"/>
          <w:rFonts w:ascii="宋体" w:hAnsi="宋体"/>
          <w:szCs w:val="24"/>
        </w:rPr>
        <w:t>。</w:t>
      </w:r>
    </w:p>
    <w:p>
      <w:pPr>
        <w:pStyle w:val="17"/>
        <w:spacing w:before="0" w:beforeAutospacing="0" w:after="0" w:afterAutospacing="0" w:line="360" w:lineRule="auto"/>
        <w:rPr>
          <w:rFonts w:ascii="宋体" w:hAnsi="宋体"/>
          <w:szCs w:val="24"/>
        </w:rPr>
      </w:pPr>
      <w:r>
        <w:rPr>
          <w:rStyle w:val="23"/>
          <w:rFonts w:ascii="宋体" w:hAnsi="宋体"/>
          <w:szCs w:val="24"/>
        </w:rPr>
        <w:t>2、签订合同时，采购人与</w:t>
      </w:r>
      <w:r>
        <w:rPr>
          <w:rStyle w:val="23"/>
          <w:rFonts w:hint="eastAsia" w:ascii="宋体" w:hAnsi="宋体" w:cs="宋体"/>
          <w:szCs w:val="24"/>
        </w:rPr>
        <w:t>成交供应商</w:t>
      </w:r>
      <w:r>
        <w:rPr>
          <w:rStyle w:val="23"/>
          <w:rFonts w:ascii="宋体" w:hAnsi="宋体"/>
          <w:szCs w:val="24"/>
        </w:rPr>
        <w:t>应结合</w:t>
      </w:r>
      <w:r>
        <w:rPr>
          <w:rStyle w:val="23"/>
          <w:rFonts w:hint="eastAsia" w:ascii="宋体" w:hAnsi="宋体"/>
          <w:szCs w:val="24"/>
        </w:rPr>
        <w:t>竞价文件</w:t>
      </w:r>
      <w:r>
        <w:rPr>
          <w:rStyle w:val="23"/>
          <w:rFonts w:ascii="宋体" w:hAnsi="宋体"/>
          <w:szCs w:val="24"/>
        </w:rPr>
        <w:t>规定填</w:t>
      </w:r>
      <w:r>
        <w:rPr>
          <w:rStyle w:val="23"/>
          <w:rFonts w:hint="eastAsia" w:ascii="宋体" w:hAnsi="宋体"/>
          <w:szCs w:val="24"/>
        </w:rPr>
        <w:t>写</w:t>
      </w:r>
      <w:r>
        <w:rPr>
          <w:rStyle w:val="23"/>
          <w:rFonts w:ascii="宋体" w:hAnsi="宋体"/>
          <w:szCs w:val="24"/>
        </w:rPr>
        <w:t>相应内容。</w:t>
      </w:r>
      <w:r>
        <w:rPr>
          <w:rStyle w:val="23"/>
          <w:rFonts w:hint="eastAsia" w:ascii="宋体" w:hAnsi="宋体"/>
          <w:szCs w:val="24"/>
        </w:rPr>
        <w:t>竞价文件</w:t>
      </w:r>
      <w:r>
        <w:rPr>
          <w:rStyle w:val="23"/>
          <w:rFonts w:ascii="宋体" w:hAnsi="宋体"/>
          <w:szCs w:val="24"/>
        </w:rPr>
        <w:t>已有规定的，双方均不得变更或调整；</w:t>
      </w:r>
      <w:r>
        <w:rPr>
          <w:rStyle w:val="23"/>
          <w:rFonts w:hint="eastAsia" w:ascii="宋体" w:hAnsi="宋体"/>
          <w:szCs w:val="24"/>
        </w:rPr>
        <w:t>竞价文件</w:t>
      </w:r>
      <w:r>
        <w:rPr>
          <w:rStyle w:val="23"/>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3"/>
          <w:rFonts w:ascii="宋体" w:hAnsi="宋体"/>
          <w:szCs w:val="24"/>
        </w:rPr>
        <w:t>3、国家有关部门</w:t>
      </w:r>
      <w:r>
        <w:rPr>
          <w:rStyle w:val="23"/>
          <w:rFonts w:hint="eastAsia" w:ascii="宋体" w:hAnsi="宋体"/>
          <w:szCs w:val="24"/>
        </w:rPr>
        <w:t>若</w:t>
      </w:r>
      <w:r>
        <w:rPr>
          <w:rStyle w:val="23"/>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u w:val="single"/>
        </w:rPr>
      </w:pPr>
      <w:r>
        <w:rPr>
          <w:rFonts w:ascii="宋体" w:hAnsi="宋体"/>
          <w:szCs w:val="24"/>
        </w:rPr>
        <w:t>甲方：</w:t>
      </w:r>
      <w:r>
        <w:rPr>
          <w:rFonts w:hint="eastAsia" w:ascii="宋体" w:hAnsi="宋体"/>
          <w:szCs w:val="24"/>
          <w:u w:val="single"/>
        </w:rPr>
        <w:t xml:space="preserve"> （采购人）       </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7"/>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数量</w:t>
            </w:r>
          </w:p>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（单位）</w:t>
            </w:r>
          </w:p>
        </w:tc>
        <w:tc>
          <w:tcPr>
            <w:tcW w:w="93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7"/>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产地</w:t>
            </w:r>
          </w:p>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类型</w:t>
            </w:r>
          </w:p>
        </w:tc>
        <w:tc>
          <w:tcPr>
            <w:tcW w:w="1211"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7"/>
              <w:spacing w:before="0" w:beforeAutospacing="0" w:after="0" w:afterAutospacing="0" w:line="360" w:lineRule="auto"/>
              <w:rPr>
                <w:rFonts w:ascii="宋体" w:hAnsi="宋体" w:cs="宋体"/>
                <w:szCs w:val="24"/>
              </w:rPr>
            </w:pPr>
          </w:p>
        </w:tc>
        <w:tc>
          <w:tcPr>
            <w:tcW w:w="1126" w:type="dxa"/>
          </w:tcPr>
          <w:p>
            <w:pPr>
              <w:pStyle w:val="17"/>
              <w:spacing w:before="0" w:beforeAutospacing="0" w:after="0" w:afterAutospacing="0" w:line="360" w:lineRule="auto"/>
              <w:rPr>
                <w:rFonts w:ascii="宋体" w:hAnsi="宋体" w:cs="宋体"/>
                <w:szCs w:val="24"/>
              </w:rPr>
            </w:pPr>
          </w:p>
        </w:tc>
        <w:tc>
          <w:tcPr>
            <w:tcW w:w="794" w:type="dxa"/>
          </w:tcPr>
          <w:p>
            <w:pPr>
              <w:pStyle w:val="17"/>
              <w:spacing w:before="0" w:beforeAutospacing="0" w:after="0" w:afterAutospacing="0" w:line="360" w:lineRule="auto"/>
              <w:rPr>
                <w:rFonts w:ascii="宋体" w:hAnsi="宋体" w:cs="宋体"/>
                <w:szCs w:val="24"/>
              </w:rPr>
            </w:pPr>
          </w:p>
        </w:tc>
        <w:tc>
          <w:tcPr>
            <w:tcW w:w="963" w:type="dxa"/>
          </w:tcPr>
          <w:p>
            <w:pPr>
              <w:pStyle w:val="17"/>
              <w:spacing w:before="0" w:beforeAutospacing="0" w:after="0" w:afterAutospacing="0" w:line="360" w:lineRule="auto"/>
              <w:rPr>
                <w:rFonts w:ascii="宋体" w:hAnsi="宋体" w:cs="宋体"/>
                <w:szCs w:val="24"/>
              </w:rPr>
            </w:pPr>
          </w:p>
        </w:tc>
        <w:tc>
          <w:tcPr>
            <w:tcW w:w="1341" w:type="dxa"/>
          </w:tcPr>
          <w:p>
            <w:pPr>
              <w:pStyle w:val="17"/>
              <w:spacing w:before="0" w:beforeAutospacing="0" w:after="0" w:afterAutospacing="0" w:line="360" w:lineRule="auto"/>
              <w:rPr>
                <w:rFonts w:ascii="宋体" w:hAnsi="宋体" w:cs="宋体"/>
                <w:szCs w:val="24"/>
              </w:rPr>
            </w:pPr>
          </w:p>
        </w:tc>
        <w:tc>
          <w:tcPr>
            <w:tcW w:w="934" w:type="dxa"/>
          </w:tcPr>
          <w:p>
            <w:pPr>
              <w:pStyle w:val="17"/>
              <w:spacing w:before="0" w:beforeAutospacing="0" w:after="0" w:afterAutospacing="0" w:line="360" w:lineRule="auto"/>
              <w:rPr>
                <w:rFonts w:ascii="宋体" w:hAnsi="宋体" w:cs="宋体"/>
                <w:szCs w:val="24"/>
              </w:rPr>
            </w:pPr>
          </w:p>
        </w:tc>
        <w:tc>
          <w:tcPr>
            <w:tcW w:w="1050" w:type="dxa"/>
          </w:tcPr>
          <w:p>
            <w:pPr>
              <w:pStyle w:val="17"/>
              <w:spacing w:before="0" w:beforeAutospacing="0" w:after="0" w:afterAutospacing="0" w:line="360" w:lineRule="auto"/>
              <w:rPr>
                <w:rFonts w:ascii="宋体" w:hAnsi="宋体" w:cs="宋体"/>
                <w:szCs w:val="24"/>
              </w:rPr>
            </w:pPr>
          </w:p>
        </w:tc>
        <w:tc>
          <w:tcPr>
            <w:tcW w:w="935" w:type="dxa"/>
          </w:tcPr>
          <w:p>
            <w:pPr>
              <w:pStyle w:val="17"/>
              <w:spacing w:before="0" w:beforeAutospacing="0" w:after="0" w:afterAutospacing="0" w:line="360" w:lineRule="auto"/>
              <w:rPr>
                <w:rFonts w:ascii="宋体" w:hAnsi="宋体" w:cs="宋体"/>
                <w:szCs w:val="24"/>
              </w:rPr>
            </w:pPr>
          </w:p>
        </w:tc>
        <w:tc>
          <w:tcPr>
            <w:tcW w:w="1211"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w:t>
      </w:r>
    </w:p>
    <w:p>
      <w:pPr>
        <w:pStyle w:val="17"/>
        <w:spacing w:before="0" w:beforeAutospacing="0" w:after="0" w:afterAutospacing="0" w:line="360" w:lineRule="auto"/>
        <w:ind w:firstLine="480"/>
        <w:rPr>
          <w:rFonts w:ascii="宋体" w:hAnsi="宋体"/>
          <w:szCs w:val="24"/>
        </w:rPr>
      </w:pPr>
      <w:r>
        <w:rPr>
          <w:rFonts w:ascii="宋体" w:hAnsi="宋体"/>
          <w:szCs w:val="24"/>
        </w:rPr>
        <w:t>4.2交付地点：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szCs w:val="24"/>
        </w:rPr>
        <w:t>  </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pStyle w:val="17"/>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0"/>
        <w:tblW w:w="0" w:type="auto"/>
        <w:tblInd w:w="6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7"/>
        <w:gridCol w:w="3000"/>
        <w:gridCol w:w="3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000"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3310"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 w:type="dxa"/>
          </w:tcPr>
          <w:p>
            <w:pPr>
              <w:pStyle w:val="17"/>
              <w:spacing w:before="0" w:beforeAutospacing="0" w:after="0" w:afterAutospacing="0" w:line="360" w:lineRule="auto"/>
              <w:rPr>
                <w:rFonts w:ascii="宋体" w:hAnsi="宋体"/>
                <w:szCs w:val="24"/>
              </w:rPr>
            </w:pPr>
          </w:p>
        </w:tc>
        <w:tc>
          <w:tcPr>
            <w:tcW w:w="3000" w:type="dxa"/>
          </w:tcPr>
          <w:p>
            <w:pPr>
              <w:pStyle w:val="17"/>
              <w:spacing w:before="0" w:beforeAutospacing="0" w:after="0" w:afterAutospacing="0" w:line="360" w:lineRule="auto"/>
              <w:rPr>
                <w:rFonts w:ascii="宋体" w:hAnsi="宋体"/>
                <w:szCs w:val="24"/>
              </w:rPr>
            </w:pPr>
          </w:p>
        </w:tc>
        <w:tc>
          <w:tcPr>
            <w:tcW w:w="3310" w:type="dxa"/>
          </w:tcPr>
          <w:p>
            <w:pPr>
              <w:widowControl/>
              <w:spacing w:line="360" w:lineRule="auto"/>
              <w:rPr>
                <w:rFonts w:ascii="宋体" w:hAnsi="宋体"/>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 xml:space="preserve">□无。□有，具体如下： </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hint="eastAsia" w:ascii="宋体" w:hAnsi="宋体"/>
          <w:szCs w:val="24"/>
        </w:rPr>
      </w:pPr>
    </w:p>
    <w:p>
      <w:pPr>
        <w:pStyle w:val="17"/>
        <w:spacing w:before="0" w:beforeAutospacing="0" w:after="0" w:afterAutospacing="0" w:line="360" w:lineRule="auto"/>
        <w:ind w:firstLine="480"/>
        <w:rPr>
          <w:rFonts w:ascii="宋体" w:hAnsi="宋体"/>
        </w:rPr>
      </w:pPr>
      <w:r>
        <w:rPr>
          <w:rFonts w:ascii="宋体" w:hAnsi="宋体"/>
        </w:rPr>
        <w:t xml:space="preserve">11、知识产权 </w:t>
      </w:r>
    </w:p>
    <w:p>
      <w:pPr>
        <w:pStyle w:val="17"/>
        <w:spacing w:before="0" w:beforeAutospacing="0" w:after="0" w:afterAutospacing="0" w:line="360" w:lineRule="auto"/>
        <w:ind w:firstLine="480"/>
        <w:rPr>
          <w:rFonts w:hint="eastAsia" w:ascii="宋体" w:hAnsi="宋体"/>
        </w:rPr>
      </w:pP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szCs w:val="24"/>
        </w:rPr>
      </w:pPr>
      <w:r>
        <w:rPr>
          <w:rFonts w:hint="eastAsia" w:ascii="宋体" w:hAnsi="宋体"/>
          <w:szCs w:val="24"/>
        </w:rPr>
        <w:t>14.1货物主要技术参数要求</w:t>
      </w:r>
    </w:p>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bl>
    <w:p>
      <w:pPr>
        <w:pStyle w:val="17"/>
        <w:spacing w:before="0" w:beforeAutospacing="0" w:after="0" w:afterAutospacing="0" w:line="360" w:lineRule="auto"/>
        <w:rPr>
          <w:rFonts w:ascii="宋体" w:hAnsi="宋体"/>
          <w:szCs w:val="24"/>
        </w:rPr>
      </w:pPr>
      <w:r>
        <w:rPr>
          <w:rFonts w:ascii="宋体" w:hAnsi="宋体"/>
          <w:szCs w:val="24"/>
        </w:rPr>
        <w:t>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w:t>
      </w:r>
      <w:r>
        <w:rPr>
          <w:rFonts w:hint="eastAsia" w:ascii="宋体" w:hAnsi="宋体" w:cs="宋体"/>
          <w:szCs w:val="24"/>
        </w:rPr>
        <w:t>年</w:t>
      </w:r>
      <w:r>
        <w:rPr>
          <w:rFonts w:hint="eastAsia" w:ascii="宋体" w:hAnsi="宋体" w:cs="宋体"/>
          <w:szCs w:val="24"/>
          <w:u w:val="single"/>
        </w:rPr>
        <w:t>  </w:t>
      </w:r>
      <w:r>
        <w:rPr>
          <w:rFonts w:hint="eastAsia" w:ascii="宋体" w:hAnsi="宋体" w:cs="宋体"/>
          <w:szCs w:val="24"/>
        </w:rPr>
        <w:t>月</w:t>
      </w:r>
      <w:r>
        <w:rPr>
          <w:rFonts w:hint="eastAsia" w:ascii="宋体" w:hAnsi="宋体" w:cs="宋体"/>
          <w:szCs w:val="24"/>
          <w:u w:val="single"/>
        </w:rPr>
        <w:t>  </w:t>
      </w:r>
      <w:r>
        <w:rPr>
          <w:rFonts w:hint="eastAsia" w:ascii="宋体" w:hAnsi="宋体" w:cs="宋体"/>
          <w:szCs w:val="24"/>
        </w:rPr>
        <w:t>日 </w:t>
      </w:r>
    </w:p>
    <w:p>
      <w:pPr>
        <w:pStyle w:val="17"/>
        <w:spacing w:before="75" w:after="75" w:line="360" w:lineRule="auto"/>
        <w:rPr>
          <w:rFonts w:ascii="宋体" w:hAnsi="宋体"/>
          <w:szCs w:val="24"/>
        </w:rPr>
      </w:pPr>
    </w:p>
    <w:p>
      <w:pPr>
        <w:spacing w:line="480" w:lineRule="exact"/>
        <w:jc w:val="left"/>
        <w:rPr>
          <w:rFonts w:ascii="宋体" w:hAnsi="宋体"/>
          <w:sz w:val="24"/>
          <w:szCs w:val="24"/>
        </w:rPr>
      </w:pPr>
    </w:p>
    <w:p>
      <w:pPr>
        <w:spacing w:line="460" w:lineRule="exact"/>
        <w:jc w:val="center"/>
        <w:rPr>
          <w:rFonts w:hint="eastAsia" w:ascii="宋体" w:hAnsi="宋体"/>
          <w:b/>
          <w:sz w:val="28"/>
          <w:szCs w:val="28"/>
        </w:rPr>
      </w:pPr>
    </w:p>
    <w:p>
      <w:pPr>
        <w:spacing w:line="460" w:lineRule="exact"/>
        <w:jc w:val="center"/>
        <w:rPr>
          <w:rFonts w:ascii="宋体" w:hAnsi="宋体"/>
          <w:b/>
          <w:sz w:val="28"/>
          <w:szCs w:val="28"/>
        </w:rPr>
      </w:pP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spacing w:line="500" w:lineRule="atLeas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提供2022年度企业财务报表或2022年度会计事务所出具的审计报告或银行资信证明文件复印件</w:t>
      </w:r>
      <w:r>
        <w:rPr>
          <w:b/>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spacing w:line="480" w:lineRule="exact"/>
              <w:ind w:firstLine="482" w:firstLineChars="200"/>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spacing w:line="480" w:lineRule="exact"/>
              <w:ind w:firstLine="482" w:firstLineChars="200"/>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7"/>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r>
        <w:rPr>
          <w:rFonts w:hint="eastAsia" w:hAnsi="宋体" w:cs="宋体"/>
          <w:b/>
          <w:kern w:val="0"/>
          <w:sz w:val="24"/>
        </w:rPr>
        <w:t>附件：资格承诺函</w:t>
      </w:r>
    </w:p>
    <w:p>
      <w:pPr>
        <w:pStyle w:val="44"/>
        <w:spacing w:line="500" w:lineRule="exact"/>
        <w:jc w:val="left"/>
        <w:rPr>
          <w:rFonts w:hAnsi="宋体" w:cs="宋体"/>
          <w:b/>
          <w:kern w:val="0"/>
          <w:sz w:val="24"/>
        </w:rPr>
      </w:pPr>
    </w:p>
    <w:p>
      <w:pPr>
        <w:spacing w:line="560" w:lineRule="exact"/>
        <w:jc w:val="center"/>
        <w:rPr>
          <w:rFonts w:hint="eastAsia" w:asciiTheme="minorEastAsia" w:hAnsiTheme="minorEastAsia" w:eastAsiaTheme="minorEastAsia"/>
          <w:sz w:val="40"/>
          <w:szCs w:val="44"/>
        </w:rPr>
      </w:pPr>
      <w:r>
        <w:rPr>
          <w:rFonts w:hint="eastAsia" w:asciiTheme="minorEastAsia" w:hAnsiTheme="minorEastAsia" w:eastAsiaTheme="minorEastAsia"/>
          <w:sz w:val="40"/>
          <w:szCs w:val="44"/>
        </w:rPr>
        <w:t>资格承诺函</w:t>
      </w:r>
    </w:p>
    <w:p>
      <w:pPr>
        <w:spacing w:line="560" w:lineRule="exact"/>
        <w:rPr>
          <w:rFonts w:hint="eastAsia" w:asciiTheme="minorEastAsia" w:hAnsiTheme="minorEastAsia" w:eastAsiaTheme="minorEastAsia"/>
          <w:sz w:val="24"/>
          <w:szCs w:val="32"/>
          <w:u w:val="single"/>
        </w:rPr>
      </w:pPr>
      <w:r>
        <w:rPr>
          <w:rFonts w:hint="eastAsia" w:asciiTheme="minorEastAsia" w:hAnsiTheme="minorEastAsia" w:eastAsiaTheme="minorEastAsia"/>
          <w:sz w:val="24"/>
          <w:szCs w:val="32"/>
        </w:rPr>
        <w:t>致：</w:t>
      </w:r>
      <w:r>
        <w:rPr>
          <w:rFonts w:hint="eastAsia" w:asciiTheme="minorEastAsia" w:hAnsiTheme="minorEastAsia" w:eastAsiaTheme="minorEastAsia"/>
          <w:sz w:val="24"/>
          <w:szCs w:val="32"/>
          <w:u w:val="single"/>
        </w:rPr>
        <w:t xml:space="preserve"> </w:t>
      </w:r>
      <w:r>
        <w:rPr>
          <w:rFonts w:hint="eastAsia" w:asciiTheme="minorEastAsia" w:hAnsiTheme="minorEastAsia" w:eastAsiaTheme="minorEastAsia"/>
          <w:sz w:val="24"/>
          <w:szCs w:val="32"/>
          <w:u w:val="single"/>
          <w:lang w:eastAsia="zh-CN"/>
        </w:rPr>
        <w:t>福建省福清监狱</w:t>
      </w:r>
      <w:r>
        <w:rPr>
          <w:rFonts w:hint="eastAsia" w:asciiTheme="minorEastAsia" w:hAnsiTheme="minorEastAsia" w:eastAsiaTheme="minorEastAsia"/>
          <w:sz w:val="24"/>
          <w:szCs w:val="32"/>
          <w:u w:val="single"/>
        </w:rPr>
        <w:t xml:space="preserve">、福建省智信招标有限公司  </w:t>
      </w:r>
    </w:p>
    <w:p>
      <w:pPr>
        <w:spacing w:line="560" w:lineRule="exact"/>
        <w:ind w:firstLine="480" w:firstLineChars="200"/>
        <w:rPr>
          <w:rFonts w:hint="eastAsia" w:asciiTheme="minorEastAsia" w:hAnsiTheme="minorEastAsia" w:eastAsiaTheme="minorEastAsia"/>
          <w:sz w:val="24"/>
          <w:szCs w:val="32"/>
        </w:rPr>
      </w:pPr>
      <w:r>
        <w:rPr>
          <w:rFonts w:hint="eastAsia" w:asciiTheme="minorEastAsia" w:hAnsiTheme="minorEastAsia" w:eastAsiaTheme="minorEastAsia"/>
          <w:sz w:val="24"/>
          <w:szCs w:val="32"/>
        </w:rPr>
        <w:t>我单位参与</w:t>
      </w:r>
      <w:r>
        <w:rPr>
          <w:rFonts w:hint="eastAsia" w:asciiTheme="minorEastAsia" w:hAnsiTheme="minorEastAsia" w:eastAsiaTheme="minorEastAsia"/>
          <w:sz w:val="24"/>
          <w:szCs w:val="32"/>
          <w:u w:val="single"/>
          <w:lang w:eastAsia="zh-CN"/>
        </w:rPr>
        <w:t>福建省福清监狱2023-2024年度日常更换用摄像头和门禁等配件采购项目</w:t>
      </w:r>
      <w:r>
        <w:rPr>
          <w:rFonts w:hint="eastAsia" w:asciiTheme="minorEastAsia" w:hAnsiTheme="minorEastAsia" w:eastAsiaTheme="minorEastAsia"/>
          <w:sz w:val="24"/>
          <w:szCs w:val="32"/>
          <w:u w:val="single"/>
        </w:rPr>
        <w:t>（项目编号：</w:t>
      </w:r>
      <w:r>
        <w:rPr>
          <w:rFonts w:hint="eastAsia" w:asciiTheme="minorEastAsia" w:hAnsiTheme="minorEastAsia" w:eastAsiaTheme="minorEastAsia"/>
          <w:sz w:val="24"/>
          <w:szCs w:val="32"/>
          <w:u w:val="single"/>
          <w:lang w:eastAsia="zh-CN"/>
        </w:rPr>
        <w:t>JJZB-2023-22</w:t>
      </w:r>
      <w:r>
        <w:rPr>
          <w:rFonts w:hint="eastAsia" w:asciiTheme="minorEastAsia" w:hAnsiTheme="minorEastAsia" w:eastAsiaTheme="minorEastAsia"/>
          <w:sz w:val="24"/>
          <w:szCs w:val="32"/>
          <w:u w:val="single"/>
        </w:rPr>
        <w:t>）</w:t>
      </w:r>
      <w:r>
        <w:rPr>
          <w:rFonts w:hint="eastAsia" w:asciiTheme="minorEastAsia" w:hAnsiTheme="minorEastAsia" w:eastAsiaTheme="minorEastAsia"/>
          <w:sz w:val="24"/>
          <w:szCs w:val="32"/>
        </w:rPr>
        <w:t>项目的采购活动，现承诺如下：</w:t>
      </w:r>
    </w:p>
    <w:p>
      <w:pPr>
        <w:spacing w:line="560" w:lineRule="exact"/>
        <w:ind w:firstLine="480" w:firstLineChars="200"/>
        <w:rPr>
          <w:rFonts w:hint="eastAsia" w:asciiTheme="minorEastAsia" w:hAnsiTheme="minorEastAsia" w:eastAsiaTheme="minorEastAsia"/>
          <w:sz w:val="24"/>
          <w:szCs w:val="32"/>
        </w:rPr>
      </w:pPr>
      <w:r>
        <w:rPr>
          <w:rFonts w:hint="eastAsia" w:asciiTheme="minorEastAsia" w:hAnsiTheme="minorEastAsia" w:eastAsiaTheme="minorEastAsia"/>
          <w:sz w:val="24"/>
          <w:szCs w:val="32"/>
        </w:rPr>
        <w:t>1.我单位具有符合竞价文件资格要求的财务状况报告。</w:t>
      </w:r>
    </w:p>
    <w:p>
      <w:pPr>
        <w:spacing w:line="560" w:lineRule="exact"/>
        <w:ind w:firstLine="480" w:firstLineChars="200"/>
        <w:rPr>
          <w:rFonts w:hint="eastAsia" w:asciiTheme="minorEastAsia" w:hAnsiTheme="minorEastAsia" w:eastAsiaTheme="minorEastAsia"/>
          <w:sz w:val="24"/>
          <w:szCs w:val="32"/>
        </w:rPr>
      </w:pPr>
      <w:r>
        <w:rPr>
          <w:rFonts w:hint="eastAsia" w:asciiTheme="minorEastAsia" w:hAnsiTheme="minorEastAsia" w:eastAsiaTheme="minorEastAsia"/>
          <w:sz w:val="24"/>
          <w:szCs w:val="32"/>
        </w:rPr>
        <w:t>2.我单位具有符合竞价文件资格要求的依法缴纳税收的相关证明材料。</w:t>
      </w:r>
    </w:p>
    <w:p>
      <w:pPr>
        <w:spacing w:line="560" w:lineRule="exact"/>
        <w:ind w:firstLine="480" w:firstLineChars="200"/>
        <w:rPr>
          <w:rFonts w:hint="eastAsia" w:asciiTheme="minorEastAsia" w:hAnsiTheme="minorEastAsia" w:eastAsiaTheme="minorEastAsia"/>
          <w:sz w:val="24"/>
          <w:szCs w:val="32"/>
        </w:rPr>
      </w:pPr>
      <w:r>
        <w:rPr>
          <w:rFonts w:hint="eastAsia" w:asciiTheme="minorEastAsia" w:hAnsiTheme="minorEastAsia" w:eastAsiaTheme="minorEastAsia"/>
          <w:sz w:val="24"/>
          <w:szCs w:val="32"/>
        </w:rPr>
        <w:t>3.我单位具有符合竞价文件资格要求的依法缴纳社会保障资金的相关证明材料。</w:t>
      </w:r>
    </w:p>
    <w:p>
      <w:pPr>
        <w:spacing w:line="560" w:lineRule="exact"/>
        <w:ind w:firstLine="480" w:firstLineChars="200"/>
        <w:rPr>
          <w:rFonts w:hint="eastAsia" w:asciiTheme="minorEastAsia" w:hAnsiTheme="minorEastAsia" w:eastAsiaTheme="minorEastAsia"/>
          <w:sz w:val="24"/>
          <w:szCs w:val="32"/>
        </w:rPr>
      </w:pPr>
      <w:r>
        <w:rPr>
          <w:rFonts w:hint="eastAsia" w:asciiTheme="minorEastAsia" w:hAnsiTheme="minorEastAsia" w:eastAsiaTheme="minorEastAsia"/>
          <w:sz w:val="24"/>
          <w:szCs w:val="32"/>
        </w:rPr>
        <w:t>若我单位承诺不实，自愿承担提供虚假材料谋取中标、成交的法律责任。</w:t>
      </w:r>
    </w:p>
    <w:p>
      <w:pPr>
        <w:spacing w:line="560" w:lineRule="exact"/>
        <w:ind w:firstLine="480" w:firstLineChars="200"/>
        <w:rPr>
          <w:rFonts w:hint="eastAsia" w:asciiTheme="minorEastAsia" w:hAnsiTheme="minorEastAsia" w:eastAsiaTheme="minorEastAsia"/>
          <w:sz w:val="24"/>
          <w:szCs w:val="32"/>
        </w:rPr>
      </w:pPr>
    </w:p>
    <w:p>
      <w:pPr>
        <w:spacing w:line="560" w:lineRule="exact"/>
        <w:ind w:firstLine="480" w:firstLineChars="200"/>
        <w:rPr>
          <w:rFonts w:hint="eastAsia" w:asciiTheme="minorEastAsia" w:hAnsiTheme="minorEastAsia" w:eastAsiaTheme="minorEastAsia"/>
          <w:sz w:val="24"/>
          <w:szCs w:val="32"/>
          <w:u w:val="single"/>
        </w:rPr>
      </w:pPr>
      <w:r>
        <w:rPr>
          <w:rFonts w:hint="eastAsia" w:asciiTheme="minorEastAsia" w:hAnsiTheme="minorEastAsia" w:eastAsiaTheme="minorEastAsia"/>
          <w:sz w:val="24"/>
          <w:szCs w:val="32"/>
        </w:rPr>
        <w:t>承诺供应商（全称并加盖公章）：</w:t>
      </w:r>
      <w:r>
        <w:rPr>
          <w:rFonts w:hint="eastAsia" w:asciiTheme="minorEastAsia" w:hAnsiTheme="minorEastAsia" w:eastAsiaTheme="minorEastAsia"/>
          <w:sz w:val="24"/>
          <w:szCs w:val="32"/>
          <w:u w:val="single"/>
        </w:rPr>
        <w:t xml:space="preserve">              </w:t>
      </w:r>
    </w:p>
    <w:p>
      <w:pPr>
        <w:spacing w:line="560" w:lineRule="exact"/>
        <w:ind w:firstLine="480" w:firstLineChars="200"/>
        <w:rPr>
          <w:rFonts w:hint="eastAsia" w:asciiTheme="minorEastAsia" w:hAnsiTheme="minorEastAsia" w:eastAsiaTheme="minorEastAsia"/>
          <w:sz w:val="24"/>
          <w:szCs w:val="32"/>
          <w:u w:val="single"/>
        </w:rPr>
      </w:pPr>
      <w:r>
        <w:rPr>
          <w:rFonts w:hint="eastAsia" w:asciiTheme="minorEastAsia" w:hAnsiTheme="minorEastAsia" w:eastAsiaTheme="minorEastAsia"/>
          <w:sz w:val="24"/>
          <w:szCs w:val="32"/>
        </w:rPr>
        <w:t>单位负责人或授权代表（签字）：</w:t>
      </w:r>
      <w:r>
        <w:rPr>
          <w:rFonts w:hint="eastAsia" w:asciiTheme="minorEastAsia" w:hAnsiTheme="minorEastAsia" w:eastAsiaTheme="minorEastAsia"/>
          <w:sz w:val="24"/>
          <w:szCs w:val="32"/>
          <w:u w:val="single"/>
        </w:rPr>
        <w:t xml:space="preserve">              </w:t>
      </w:r>
    </w:p>
    <w:p>
      <w:pPr>
        <w:spacing w:line="560" w:lineRule="exact"/>
        <w:ind w:firstLine="480" w:firstLineChars="200"/>
        <w:rPr>
          <w:rFonts w:hint="eastAsia" w:asciiTheme="minorEastAsia" w:hAnsiTheme="minorEastAsia" w:eastAsiaTheme="minorEastAsia"/>
          <w:sz w:val="24"/>
          <w:szCs w:val="32"/>
          <w:u w:val="single"/>
        </w:rPr>
      </w:pPr>
      <w:r>
        <w:rPr>
          <w:rFonts w:hint="eastAsia" w:asciiTheme="minorEastAsia" w:hAnsiTheme="minorEastAsia" w:eastAsiaTheme="minorEastAsia"/>
          <w:sz w:val="24"/>
          <w:szCs w:val="32"/>
        </w:rPr>
        <w:t>日期：</w:t>
      </w:r>
      <w:r>
        <w:rPr>
          <w:rFonts w:hint="eastAsia" w:asciiTheme="minorEastAsia" w:hAnsiTheme="minorEastAsia" w:eastAsiaTheme="minorEastAsia"/>
          <w:sz w:val="24"/>
          <w:szCs w:val="32"/>
          <w:u w:val="single"/>
        </w:rPr>
        <w:t xml:space="preserve">              </w:t>
      </w:r>
    </w:p>
    <w:p>
      <w:pPr>
        <w:spacing w:line="560" w:lineRule="exact"/>
        <w:rPr>
          <w:rFonts w:asciiTheme="minorEastAsia" w:hAnsiTheme="minorEastAsia" w:eastAsiaTheme="minorEastAsia"/>
          <w:sz w:val="24"/>
          <w:szCs w:val="32"/>
        </w:rPr>
      </w:pPr>
      <w:r>
        <w:rPr>
          <w:rFonts w:hint="eastAsia" w:asciiTheme="minorEastAsia" w:hAnsiTheme="minorEastAsia" w:eastAsiaTheme="minorEastAsia"/>
          <w:sz w:val="24"/>
          <w:szCs w:val="32"/>
        </w:rPr>
        <w:t xml:space="preserve">﹍﹍﹍﹍﹍﹍﹍﹍﹍﹍﹍﹍﹍﹍﹍﹍﹍﹍﹍﹍﹍﹍﹍﹍﹍﹍﹍    </w:t>
      </w:r>
    </w:p>
    <w:p>
      <w:pPr>
        <w:spacing w:line="560" w:lineRule="exact"/>
        <w:rPr>
          <w:rFonts w:hint="eastAsia" w:asciiTheme="minorEastAsia" w:hAnsiTheme="minorEastAsia" w:eastAsiaTheme="minorEastAsia"/>
          <w:sz w:val="22"/>
          <w:szCs w:val="28"/>
        </w:rPr>
      </w:pPr>
      <w:r>
        <w:rPr>
          <w:rFonts w:hint="eastAsia" w:asciiTheme="minorEastAsia" w:hAnsiTheme="minorEastAsia" w:eastAsiaTheme="minorEastAsia"/>
          <w:sz w:val="22"/>
          <w:szCs w:val="28"/>
        </w:rPr>
        <w:t>说明：1.供应商可自行选择是否提供本承诺函，若不提供本承诺函的，应按竞价文件要求提供相应的证明材料。</w:t>
      </w:r>
    </w:p>
    <w:p>
      <w:pPr>
        <w:spacing w:line="560" w:lineRule="exact"/>
        <w:rPr>
          <w:rFonts w:asciiTheme="minorEastAsia" w:hAnsiTheme="minorEastAsia" w:eastAsiaTheme="minorEastAsia"/>
          <w:sz w:val="18"/>
        </w:rPr>
      </w:pPr>
      <w:r>
        <w:rPr>
          <w:rFonts w:hint="eastAsia" w:asciiTheme="minorEastAsia" w:hAnsiTheme="minorEastAsia" w:eastAsiaTheme="minorEastAsia"/>
          <w:sz w:val="22"/>
          <w:szCs w:val="28"/>
        </w:rPr>
        <w:t>2.供应商可删减承诺事项，如删去承诺第1项的，则应按竞价文件要求提供财务状况报告。</w:t>
      </w:r>
    </w:p>
    <w:p>
      <w:pPr>
        <w:spacing w:line="400" w:lineRule="exact"/>
        <w:rPr>
          <w:rFonts w:cs="宋体" w:asciiTheme="minorEastAsia" w:hAnsiTheme="minorEastAsia" w:eastAsiaTheme="minorEastAsia"/>
          <w:sz w:val="22"/>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szCs w:val="24"/>
        </w:rPr>
        <w:t>福建省智信招标有限公司</w:t>
      </w:r>
      <w:r>
        <w:rPr>
          <w:rFonts w:hint="eastAsia" w:ascii="宋体" w:hAnsi="宋体"/>
          <w:sz w:val="24"/>
        </w:rPr>
        <w:t>：</w:t>
      </w:r>
    </w:p>
    <w:p>
      <w:pPr>
        <w:pStyle w:val="9"/>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福建省智信招标有限公司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2795"/>
        <w:gridCol w:w="650"/>
        <w:gridCol w:w="643"/>
        <w:gridCol w:w="1524"/>
        <w:gridCol w:w="85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szCs w:val="24"/>
              </w:rPr>
            </w:pPr>
            <w:r>
              <w:rPr>
                <w:rFonts w:hint="eastAsia" w:ascii="宋体" w:hAnsi="宋体"/>
                <w:sz w:val="24"/>
                <w:szCs w:val="24"/>
              </w:rPr>
              <w:t>合同包</w:t>
            </w: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hAnsi="宋体"/>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hAnsi="宋体"/>
                <w:sz w:val="24"/>
                <w:szCs w:val="24"/>
              </w:rPr>
            </w:pPr>
            <w:r>
              <w:rPr>
                <w:rFonts w:hint="eastAsia" w:ascii="宋体" w:hAnsi="宋体" w:eastAsia="宋体" w:cs="宋体"/>
                <w:b/>
                <w:bCs/>
                <w:i w:val="0"/>
                <w:iCs w:val="0"/>
                <w:color w:val="000000"/>
                <w:kern w:val="0"/>
                <w:sz w:val="24"/>
                <w:szCs w:val="24"/>
                <w:u w:val="none"/>
                <w:lang w:val="en-US" w:eastAsia="zh-CN" w:bidi="ar"/>
              </w:rPr>
              <w:t>名称</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hAnsi="宋体"/>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hAnsi="宋体"/>
                <w:sz w:val="24"/>
                <w:szCs w:val="24"/>
              </w:rPr>
            </w:pPr>
            <w:r>
              <w:rPr>
                <w:rFonts w:hint="eastAsia" w:ascii="宋体" w:hAnsi="宋体" w:eastAsia="宋体" w:cs="宋体"/>
                <w:b/>
                <w:bCs/>
                <w:i w:val="0"/>
                <w:iCs w:val="0"/>
                <w:color w:val="000000"/>
                <w:kern w:val="0"/>
                <w:sz w:val="24"/>
                <w:szCs w:val="24"/>
                <w:u w:val="none"/>
                <w:lang w:val="en-US" w:eastAsia="zh-CN" w:bidi="ar"/>
              </w:rPr>
              <w:t>数量</w:t>
            </w:r>
          </w:p>
        </w:tc>
        <w:tc>
          <w:tcPr>
            <w:tcW w:w="1524" w:type="dxa"/>
            <w:vAlign w:val="center"/>
          </w:tcPr>
          <w:p>
            <w:pPr>
              <w:jc w:val="center"/>
              <w:rPr>
                <w:rFonts w:ascii="宋体" w:hAnsi="宋体"/>
                <w:sz w:val="24"/>
                <w:szCs w:val="24"/>
              </w:rPr>
            </w:pPr>
            <w:r>
              <w:rPr>
                <w:rFonts w:hint="eastAsia" w:ascii="宋体" w:hAnsi="宋体" w:cs="宋体"/>
                <w:b/>
                <w:bCs/>
                <w:i w:val="0"/>
                <w:iCs w:val="0"/>
                <w:color w:val="000000"/>
                <w:kern w:val="0"/>
                <w:sz w:val="24"/>
                <w:szCs w:val="24"/>
                <w:u w:val="none"/>
                <w:lang w:val="en-US" w:eastAsia="zh-CN" w:bidi="ar"/>
              </w:rPr>
              <w:t>单价最高限价/基准单价（含税）</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hAnsi="宋体"/>
                <w:sz w:val="24"/>
                <w:szCs w:val="24"/>
              </w:rPr>
            </w:pPr>
            <w:r>
              <w:rPr>
                <w:rFonts w:hint="eastAsia" w:ascii="宋体" w:hAnsi="宋体" w:eastAsia="宋体" w:cs="宋体"/>
                <w:b/>
                <w:bCs/>
                <w:i w:val="0"/>
                <w:iCs w:val="0"/>
                <w:color w:val="000000"/>
                <w:kern w:val="0"/>
                <w:sz w:val="24"/>
                <w:szCs w:val="24"/>
                <w:u w:val="none"/>
                <w:lang w:val="en-US" w:eastAsia="zh-CN" w:bidi="ar"/>
              </w:rPr>
              <w:t>统一       下浮率</w:t>
            </w:r>
          </w:p>
        </w:tc>
        <w:tc>
          <w:tcPr>
            <w:tcW w:w="140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ascii="宋体" w:hAnsi="宋体"/>
                <w:sz w:val="24"/>
                <w:szCs w:val="24"/>
              </w:rPr>
            </w:pPr>
            <w:r>
              <w:rPr>
                <w:rFonts w:hint="eastAsia" w:ascii="宋体" w:hAnsi="宋体" w:eastAsia="宋体" w:cs="宋体"/>
                <w:b/>
                <w:bCs/>
                <w:i w:val="0"/>
                <w:iCs w:val="0"/>
                <w:color w:val="000000"/>
                <w:kern w:val="0"/>
                <w:sz w:val="24"/>
                <w:szCs w:val="24"/>
                <w:u w:val="none"/>
                <w:lang w:val="en-US" w:eastAsia="zh-CN" w:bidi="ar"/>
              </w:rPr>
              <w:t>下浮后价格（含税）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restart"/>
            <w:vAlign w:val="center"/>
          </w:tcPr>
          <w:p>
            <w:pPr>
              <w:spacing w:line="500" w:lineRule="exact"/>
              <w:jc w:val="center"/>
              <w:rPr>
                <w:rFonts w:ascii="宋体" w:hAnsi="宋体"/>
                <w:sz w:val="24"/>
                <w:szCs w:val="24"/>
              </w:rPr>
            </w:pPr>
            <w:r>
              <w:rPr>
                <w:rFonts w:hint="eastAsia" w:ascii="宋体" w:hAnsi="宋体"/>
                <w:sz w:val="24"/>
                <w:szCs w:val="24"/>
              </w:rPr>
              <w:t>1</w:t>
            </w: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双门门禁控制器</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2300</w:t>
            </w:r>
          </w:p>
        </w:tc>
        <w:tc>
          <w:tcPr>
            <w:tcW w:w="854" w:type="dxa"/>
            <w:vMerge w:val="restart"/>
            <w:vAlign w:val="center"/>
          </w:tcPr>
          <w:p>
            <w:pPr>
              <w:widowControl/>
              <w:jc w:val="center"/>
              <w:textAlignment w:val="center"/>
              <w:rPr>
                <w:rFonts w:ascii="宋体" w:hAnsi="宋体"/>
                <w:sz w:val="24"/>
                <w:szCs w:val="24"/>
              </w:rPr>
            </w:pPr>
          </w:p>
        </w:tc>
        <w:tc>
          <w:tcPr>
            <w:tcW w:w="1405" w:type="dxa"/>
            <w:tcBorders>
              <w:bottom w:val="single" w:color="auto" w:sz="4" w:space="0"/>
            </w:tcBorders>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门禁读卡器</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252</w:t>
            </w:r>
          </w:p>
        </w:tc>
        <w:tc>
          <w:tcPr>
            <w:tcW w:w="854" w:type="dxa"/>
            <w:vMerge w:val="continue"/>
            <w:vAlign w:val="center"/>
          </w:tcPr>
          <w:p>
            <w:pPr>
              <w:widowControl/>
              <w:jc w:val="center"/>
              <w:textAlignment w:val="center"/>
              <w:rPr>
                <w:rFonts w:ascii="宋体" w:hAnsi="宋体"/>
                <w:sz w:val="24"/>
                <w:szCs w:val="24"/>
              </w:rPr>
            </w:pPr>
          </w:p>
        </w:tc>
        <w:tc>
          <w:tcPr>
            <w:tcW w:w="1405" w:type="dxa"/>
            <w:tcBorders>
              <w:bottom w:val="single" w:color="auto" w:sz="4" w:space="0"/>
            </w:tcBorders>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双门门禁控制器</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2776</w:t>
            </w:r>
          </w:p>
        </w:tc>
        <w:tc>
          <w:tcPr>
            <w:tcW w:w="854" w:type="dxa"/>
            <w:vMerge w:val="continue"/>
            <w:vAlign w:val="center"/>
          </w:tcPr>
          <w:p>
            <w:pPr>
              <w:widowControl/>
              <w:jc w:val="center"/>
              <w:textAlignment w:val="center"/>
              <w:rPr>
                <w:rFonts w:ascii="宋体" w:hAnsi="宋体"/>
                <w:sz w:val="24"/>
                <w:szCs w:val="24"/>
              </w:rPr>
            </w:pPr>
          </w:p>
        </w:tc>
        <w:tc>
          <w:tcPr>
            <w:tcW w:w="1405" w:type="dxa"/>
            <w:tcBorders>
              <w:bottom w:val="single" w:color="auto" w:sz="4" w:space="0"/>
            </w:tcBorders>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门禁读卡器</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1126</w:t>
            </w:r>
          </w:p>
        </w:tc>
        <w:tc>
          <w:tcPr>
            <w:tcW w:w="854" w:type="dxa"/>
            <w:vMerge w:val="continue"/>
            <w:vAlign w:val="center"/>
          </w:tcPr>
          <w:p>
            <w:pPr>
              <w:widowControl/>
              <w:jc w:val="center"/>
              <w:textAlignment w:val="center"/>
              <w:rPr>
                <w:rFonts w:ascii="宋体" w:hAnsi="宋体"/>
                <w:sz w:val="24"/>
                <w:szCs w:val="24"/>
              </w:rPr>
            </w:pPr>
          </w:p>
        </w:tc>
        <w:tc>
          <w:tcPr>
            <w:tcW w:w="1405" w:type="dxa"/>
            <w:tcBorders>
              <w:bottom w:val="single" w:color="auto" w:sz="4" w:space="0"/>
            </w:tcBorders>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门禁锁</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359</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单门磁力锁</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199</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单门磁力锁LZ型支架 </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付</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95</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电插锁</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167</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闭门器</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214</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急停按钮控制盒</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千兆光模块</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524</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万兆光模块</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1369</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监控硬盘</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2583</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监控硬盘</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3583</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监控硬盘</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4583</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高清网络半球摄像机</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1050</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高清广角半球摄像机</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1930</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mini网络半球(带拾音器）</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2200</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高清网络枪机</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1046</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高清网络枪机</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1560</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声光警戒筒机（带拾音器）</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1545</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高清网络球机</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5583</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红外高清球机</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6096</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筒机支架</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104</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球机支架</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138</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拾音器</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220</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5V1A电源</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12V3.3A电源</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111</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12V开关电源</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98</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24V球机电源</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109</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门禁信号线</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光纤收发器</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412</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六类网络面板+模块双口</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61</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网络线（超五类）</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箱</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690</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网络线（超六类）</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箱</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878</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电源线</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电源线</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PVC线管</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09" w:type="dxa"/>
            <w:vMerge w:val="continue"/>
            <w:vAlign w:val="center"/>
          </w:tcPr>
          <w:p>
            <w:pPr>
              <w:spacing w:line="500" w:lineRule="exact"/>
              <w:rPr>
                <w:rFonts w:ascii="宋体" w:hAnsi="宋体"/>
                <w:sz w:val="24"/>
                <w:szCs w:val="24"/>
              </w:rPr>
            </w:pP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2795"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PVC线管</w:t>
            </w:r>
          </w:p>
        </w:tc>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643"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854" w:type="dxa"/>
            <w:vMerge w:val="continue"/>
            <w:vAlign w:val="center"/>
          </w:tcPr>
          <w:p>
            <w:pPr>
              <w:widowControl/>
              <w:jc w:val="center"/>
              <w:textAlignment w:val="center"/>
              <w:rPr>
                <w:rFonts w:ascii="宋体" w:hAnsi="宋体"/>
                <w:sz w:val="24"/>
                <w:szCs w:val="24"/>
              </w:rPr>
            </w:pPr>
          </w:p>
        </w:tc>
        <w:tc>
          <w:tcPr>
            <w:tcW w:w="1405" w:type="dxa"/>
            <w:vAlign w:val="center"/>
          </w:tcPr>
          <w:p>
            <w:pPr>
              <w:spacing w:line="500" w:lineRule="exact"/>
              <w:rPr>
                <w:rFonts w:ascii="宋体" w:hAnsi="宋体"/>
                <w:sz w:val="24"/>
                <w:szCs w:val="24"/>
              </w:rPr>
            </w:pPr>
          </w:p>
        </w:tc>
      </w:tr>
    </w:tbl>
    <w:p>
      <w:pPr>
        <w:pStyle w:val="17"/>
        <w:spacing w:before="0" w:beforeAutospacing="0" w:after="0" w:afterAutospacing="0" w:line="400" w:lineRule="exact"/>
        <w:ind w:firstLine="482" w:firstLineChars="200"/>
        <w:rPr>
          <w:rFonts w:hint="eastAsia" w:ascii="Times New Roman" w:hAnsi="Times New Roman" w:eastAsia="宋体"/>
          <w:b/>
          <w:shd w:val="clear" w:color="auto" w:fill="FFFFFF"/>
        </w:rPr>
      </w:pPr>
      <w:r>
        <w:rPr>
          <w:rFonts w:hint="eastAsia"/>
          <w:b/>
          <w:sz w:val="24"/>
          <w:szCs w:val="24"/>
          <w:highlight w:val="none"/>
        </w:rPr>
        <w:t>注：</w:t>
      </w:r>
      <w:r>
        <w:rPr>
          <w:rFonts w:hint="eastAsia" w:ascii="Times New Roman" w:hAnsi="Times New Roman" w:eastAsia="宋体"/>
          <w:b/>
          <w:shd w:val="clear" w:color="auto" w:fill="FFFFFF"/>
        </w:rPr>
        <w:t>（</w:t>
      </w:r>
      <w:r>
        <w:rPr>
          <w:rFonts w:hint="eastAsia" w:ascii="Times New Roman" w:hAnsi="Times New Roman" w:eastAsia="宋体"/>
          <w:b/>
          <w:shd w:val="clear" w:color="auto" w:fill="FFFFFF"/>
          <w:lang w:val="en-US" w:eastAsia="zh-CN"/>
        </w:rPr>
        <w:t>1）供</w:t>
      </w:r>
      <w:r>
        <w:rPr>
          <w:rFonts w:hint="eastAsia" w:ascii="Times New Roman" w:hAnsi="Times New Roman" w:eastAsia="宋体"/>
          <w:b/>
          <w:shd w:val="clear" w:color="auto" w:fill="FFFFFF"/>
        </w:rPr>
        <w:t>应商提供的报价文件须对以上列表中所列清单</w:t>
      </w:r>
      <w:r>
        <w:rPr>
          <w:rFonts w:hint="eastAsia" w:ascii="Times New Roman" w:hAnsi="Times New Roman" w:eastAsia="宋体"/>
          <w:b/>
          <w:shd w:val="clear" w:color="auto" w:fill="FFFFFF"/>
          <w:lang w:eastAsia="zh-CN"/>
        </w:rPr>
        <w:t>标注统一下浮率并</w:t>
      </w:r>
      <w:r>
        <w:rPr>
          <w:rFonts w:hint="eastAsia" w:ascii="Times New Roman" w:hAnsi="Times New Roman" w:eastAsia="宋体"/>
          <w:b/>
          <w:shd w:val="clear" w:color="auto" w:fill="FFFFFF"/>
        </w:rPr>
        <w:t>进行逐项单价报价，未逐项报价的，按竞价无效处理。</w:t>
      </w:r>
    </w:p>
    <w:p>
      <w:pPr>
        <w:pStyle w:val="17"/>
        <w:numPr>
          <w:numId w:val="0"/>
        </w:numPr>
        <w:spacing w:before="0" w:beforeAutospacing="0" w:after="0" w:afterAutospacing="0" w:line="400" w:lineRule="exact"/>
        <w:ind w:firstLine="482" w:firstLineChars="200"/>
        <w:rPr>
          <w:rFonts w:hint="eastAsia" w:ascii="Times New Roman" w:hAnsi="Times New Roman" w:eastAsia="宋体"/>
          <w:b/>
          <w:color w:val="FF0000"/>
          <w:shd w:val="clear" w:color="auto" w:fill="FFFFFF"/>
          <w:lang w:val="en-US" w:eastAsia="zh-CN"/>
        </w:rPr>
      </w:pPr>
      <w:r>
        <w:rPr>
          <w:rFonts w:hint="eastAsia"/>
          <w:b/>
          <w:color w:val="FF0000"/>
          <w:shd w:val="clear" w:color="auto" w:fill="FFFFFF"/>
          <w:lang w:val="en-US" w:eastAsia="zh-CN"/>
        </w:rPr>
        <w:t>（2）</w:t>
      </w:r>
      <w:r>
        <w:rPr>
          <w:rFonts w:hint="eastAsia" w:ascii="Times New Roman" w:hAnsi="Times New Roman" w:eastAsia="宋体"/>
          <w:b/>
          <w:color w:val="FF0000"/>
          <w:shd w:val="clear" w:color="auto" w:fill="FFFFFF"/>
          <w:lang w:val="en-US" w:eastAsia="zh-CN"/>
        </w:rPr>
        <w:t>供应商首次提交的单价报价必须低于基准单价，单</w:t>
      </w:r>
      <w:r>
        <w:rPr>
          <w:rFonts w:hint="eastAsia" w:ascii="Times New Roman" w:hAnsi="Times New Roman" w:eastAsia="宋体"/>
          <w:b/>
          <w:color w:val="FF0000"/>
          <w:shd w:val="clear" w:color="auto" w:fill="FFFFFF"/>
        </w:rPr>
        <w:t>价有效至小数点后</w:t>
      </w:r>
      <w:r>
        <w:rPr>
          <w:rFonts w:hint="eastAsia" w:ascii="Times New Roman" w:hAnsi="Times New Roman" w:eastAsia="宋体"/>
          <w:b/>
          <w:color w:val="FF0000"/>
          <w:shd w:val="clear" w:color="auto" w:fill="FFFFFF"/>
          <w:lang w:val="en-US" w:eastAsia="zh-CN"/>
        </w:rPr>
        <w:t>两</w:t>
      </w:r>
      <w:r>
        <w:rPr>
          <w:rFonts w:hint="eastAsia" w:ascii="Times New Roman" w:hAnsi="Times New Roman" w:eastAsia="宋体"/>
          <w:b/>
          <w:color w:val="FF0000"/>
          <w:shd w:val="clear" w:color="auto" w:fill="FFFFFF"/>
        </w:rPr>
        <w:t>位，</w:t>
      </w:r>
      <w:r>
        <w:rPr>
          <w:rFonts w:hint="eastAsia" w:ascii="Times New Roman" w:hAnsi="Times New Roman" w:eastAsia="宋体"/>
          <w:b/>
          <w:color w:val="FF0000"/>
          <w:shd w:val="clear" w:color="auto" w:fill="FFFFFF"/>
          <w:lang w:val="en-US" w:eastAsia="zh-CN"/>
        </w:rPr>
        <w:t>否则视为无效报价。</w:t>
      </w:r>
    </w:p>
    <w:p>
      <w:pPr>
        <w:pStyle w:val="17"/>
        <w:numPr>
          <w:numId w:val="0"/>
        </w:numPr>
        <w:spacing w:before="0" w:beforeAutospacing="0" w:after="0" w:afterAutospacing="0" w:line="400" w:lineRule="exact"/>
        <w:ind w:firstLine="482" w:firstLineChars="200"/>
        <w:rPr>
          <w:rFonts w:hint="eastAsia" w:ascii="Times New Roman" w:hAnsi="Times New Roman" w:eastAsia="宋体"/>
          <w:b/>
          <w:color w:val="auto"/>
          <w:highlight w:val="none"/>
          <w:shd w:val="clear" w:color="auto" w:fill="FFFFFF"/>
        </w:rPr>
      </w:pPr>
      <w:r>
        <w:rPr>
          <w:rFonts w:hint="eastAsia"/>
          <w:b/>
          <w:shd w:val="clear" w:color="auto" w:fill="FFFFFF"/>
          <w:lang w:val="en-US" w:eastAsia="zh-CN"/>
        </w:rPr>
        <w:t>（3）</w:t>
      </w:r>
      <w:r>
        <w:rPr>
          <w:rFonts w:hint="eastAsia" w:ascii="Times New Roman" w:hAnsi="Times New Roman" w:eastAsia="宋体"/>
          <w:b/>
          <w:color w:val="auto"/>
          <w:highlight w:val="none"/>
          <w:shd w:val="clear" w:color="auto" w:fill="FFFFFF"/>
          <w:lang w:val="en-US" w:eastAsia="zh-CN"/>
        </w:rPr>
        <w:t>网上竞价的报价时限为竞价公告截止后两个小时内，在报价时限截止前，潜在供应商可通过福建省智信招标有限公司官网网竞平台进行竞价，在规定的报价时限内不限次数报价，直到竞价截止时间为止。</w:t>
      </w:r>
    </w:p>
    <w:p>
      <w:pPr>
        <w:pStyle w:val="17"/>
        <w:numPr>
          <w:numId w:val="0"/>
        </w:numPr>
        <w:spacing w:before="0" w:beforeAutospacing="0" w:after="0" w:afterAutospacing="0" w:line="400" w:lineRule="exact"/>
        <w:ind w:firstLine="482" w:firstLineChars="200"/>
        <w:rPr>
          <w:rFonts w:hint="eastAsia" w:ascii="Times New Roman" w:hAnsi="Times New Roman" w:eastAsia="宋体" w:cs="Times New Roman"/>
          <w:b/>
          <w:color w:val="FF0000"/>
          <w:shd w:val="clear" w:color="auto" w:fill="FFFFFF"/>
        </w:rPr>
      </w:pPr>
      <w:r>
        <w:rPr>
          <w:rFonts w:hint="eastAsia" w:cs="Times New Roman"/>
          <w:b/>
          <w:color w:val="FF0000"/>
          <w:shd w:val="clear" w:color="auto" w:fill="FFFFFF"/>
          <w:lang w:val="en-US" w:eastAsia="zh-CN"/>
        </w:rPr>
        <w:t>（4）</w:t>
      </w:r>
      <w:r>
        <w:rPr>
          <w:rFonts w:hint="eastAsia" w:ascii="Times New Roman" w:hAnsi="Times New Roman" w:eastAsia="宋体" w:cs="Times New Roman"/>
          <w:b/>
          <w:color w:val="FF0000"/>
          <w:shd w:val="clear" w:color="auto" w:fill="FFFFFF"/>
          <w:lang w:val="en-US" w:eastAsia="zh-CN"/>
        </w:rPr>
        <w:t>供应商首次提交的报价必须低于最高限价（即15万），否则，视为无效报价。</w:t>
      </w:r>
      <w:r>
        <w:rPr>
          <w:rFonts w:hint="eastAsia" w:ascii="Times New Roman" w:hAnsi="Times New Roman" w:eastAsia="宋体" w:cs="Times New Roman"/>
          <w:b/>
          <w:color w:val="FF0000"/>
          <w:shd w:val="clear" w:color="auto" w:fill="FFFFFF"/>
        </w:rPr>
        <w:t>在符合采购需求且报价有效的前提下，报价最低者成交（报价相同的，以报价时间优先者成交）。因本项目为统一报出</w:t>
      </w:r>
      <w:r>
        <w:rPr>
          <w:rFonts w:hint="eastAsia" w:ascii="Times New Roman" w:hAnsi="Times New Roman" w:eastAsia="宋体" w:cs="Times New Roman"/>
          <w:b/>
          <w:color w:val="FF0000"/>
          <w:shd w:val="clear" w:color="auto" w:fill="FFFFFF"/>
          <w:lang w:val="en-US" w:eastAsia="zh-CN"/>
        </w:rPr>
        <w:t>下浮</w:t>
      </w:r>
      <w:r>
        <w:rPr>
          <w:rFonts w:hint="eastAsia" w:ascii="Times New Roman" w:hAnsi="Times New Roman" w:eastAsia="宋体" w:cs="Times New Roman"/>
          <w:b/>
          <w:color w:val="FF0000"/>
          <w:shd w:val="clear" w:color="auto" w:fill="FFFFFF"/>
        </w:rPr>
        <w:t>率，故本项目</w:t>
      </w:r>
      <w:r>
        <w:rPr>
          <w:rFonts w:hint="eastAsia" w:ascii="Times New Roman" w:hAnsi="Times New Roman" w:eastAsia="宋体" w:cs="Times New Roman"/>
          <w:b/>
          <w:color w:val="FF0000"/>
          <w:shd w:val="clear" w:color="auto" w:fill="FFFFFF"/>
          <w:lang w:val="en-US" w:eastAsia="zh-CN"/>
        </w:rPr>
        <w:t>在网竞平台</w:t>
      </w:r>
      <w:r>
        <w:rPr>
          <w:rFonts w:hint="eastAsia" w:ascii="Times New Roman" w:hAnsi="Times New Roman" w:eastAsia="宋体" w:cs="Times New Roman"/>
          <w:b/>
          <w:color w:val="FF0000"/>
          <w:shd w:val="clear" w:color="auto" w:fill="FFFFFF"/>
        </w:rPr>
        <w:t>报价=预</w:t>
      </w:r>
      <w:r>
        <w:rPr>
          <w:rFonts w:hint="eastAsia" w:ascii="Times New Roman" w:hAnsi="Times New Roman" w:eastAsia="宋体" w:cs="Times New Roman"/>
          <w:b/>
          <w:color w:val="FF0000"/>
          <w:shd w:val="clear" w:color="auto" w:fill="FFFFFF"/>
          <w:lang w:val="en-US" w:eastAsia="zh-CN"/>
        </w:rPr>
        <w:t>算</w:t>
      </w:r>
      <w:r>
        <w:rPr>
          <w:rFonts w:hint="eastAsia" w:ascii="Times New Roman" w:hAnsi="Times New Roman" w:eastAsia="宋体" w:cs="Times New Roman"/>
          <w:b/>
          <w:color w:val="FF0000"/>
          <w:shd w:val="clear" w:color="auto" w:fill="FFFFFF"/>
        </w:rPr>
        <w:t>金额*（1-</w:t>
      </w:r>
      <w:r>
        <w:rPr>
          <w:rFonts w:hint="eastAsia" w:ascii="Times New Roman" w:hAnsi="Times New Roman" w:eastAsia="宋体" w:cs="Times New Roman"/>
          <w:b/>
          <w:color w:val="FF0000"/>
          <w:shd w:val="clear" w:color="auto" w:fill="FFFFFF"/>
          <w:lang w:val="en-US" w:eastAsia="zh-CN"/>
        </w:rPr>
        <w:t>下浮</w:t>
      </w:r>
      <w:r>
        <w:rPr>
          <w:rFonts w:hint="eastAsia" w:ascii="Times New Roman" w:hAnsi="Times New Roman" w:eastAsia="宋体" w:cs="Times New Roman"/>
          <w:b/>
          <w:color w:val="FF0000"/>
          <w:shd w:val="clear" w:color="auto" w:fill="FFFFFF"/>
        </w:rPr>
        <w:t>率），即报价=</w:t>
      </w:r>
      <w:r>
        <w:rPr>
          <w:rFonts w:hint="eastAsia" w:ascii="Times New Roman" w:hAnsi="Times New Roman" w:cs="Times New Roman"/>
          <w:b/>
          <w:color w:val="FF0000"/>
          <w:shd w:val="clear" w:color="auto" w:fill="FFFFFF"/>
          <w:lang w:val="en-US" w:eastAsia="zh-CN"/>
        </w:rPr>
        <w:t>1</w:t>
      </w:r>
      <w:r>
        <w:rPr>
          <w:rFonts w:hint="eastAsia" w:ascii="Times New Roman" w:hAnsi="Times New Roman" w:eastAsia="宋体" w:cs="Times New Roman"/>
          <w:b/>
          <w:color w:val="FF0000"/>
          <w:shd w:val="clear" w:color="auto" w:fill="FFFFFF"/>
          <w:lang w:val="en-US" w:eastAsia="zh-CN"/>
        </w:rPr>
        <w:t>5</w:t>
      </w:r>
      <w:r>
        <w:rPr>
          <w:rFonts w:hint="eastAsia" w:ascii="Times New Roman" w:hAnsi="Times New Roman" w:eastAsia="宋体" w:cs="Times New Roman"/>
          <w:b/>
          <w:color w:val="FF0000"/>
          <w:shd w:val="clear" w:color="auto" w:fill="FFFFFF"/>
        </w:rPr>
        <w:t>0000*（1-  %）（“</w:t>
      </w:r>
      <w:r>
        <w:rPr>
          <w:rFonts w:hint="eastAsia" w:ascii="Times New Roman" w:hAnsi="Times New Roman" w:eastAsia="宋体" w:cs="Times New Roman"/>
          <w:b/>
          <w:color w:val="FF0000"/>
          <w:shd w:val="clear" w:color="auto" w:fill="FFFFFF"/>
          <w:lang w:val="en-US" w:eastAsia="zh-CN"/>
        </w:rPr>
        <w:t>下浮</w:t>
      </w:r>
      <w:r>
        <w:rPr>
          <w:rFonts w:hint="eastAsia" w:ascii="Times New Roman" w:hAnsi="Times New Roman" w:eastAsia="宋体" w:cs="Times New Roman"/>
          <w:b/>
          <w:color w:val="FF0000"/>
          <w:shd w:val="clear" w:color="auto" w:fill="FFFFFF"/>
        </w:rPr>
        <w:t>率”，例如：10%），并且须在报价备注档中明确</w:t>
      </w:r>
      <w:r>
        <w:rPr>
          <w:rFonts w:hint="eastAsia" w:ascii="Times New Roman" w:hAnsi="Times New Roman" w:eastAsia="宋体" w:cs="Times New Roman"/>
          <w:b/>
          <w:color w:val="FF0000"/>
          <w:shd w:val="clear" w:color="auto" w:fill="FFFFFF"/>
          <w:lang w:val="en-US" w:eastAsia="zh-CN"/>
        </w:rPr>
        <w:t>下浮</w:t>
      </w:r>
      <w:r>
        <w:rPr>
          <w:rFonts w:hint="eastAsia" w:ascii="Times New Roman" w:hAnsi="Times New Roman" w:eastAsia="宋体" w:cs="Times New Roman"/>
          <w:b/>
          <w:color w:val="FF0000"/>
          <w:shd w:val="clear" w:color="auto" w:fill="FFFFFF"/>
        </w:rPr>
        <w:t>率。</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line="400" w:lineRule="exact"/>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line="400" w:lineRule="exact"/>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line="400" w:lineRule="exact"/>
        <w:jc w:val="left"/>
        <w:rPr>
          <w:rFonts w:ascii="宋体"/>
          <w:kern w:val="0"/>
          <w:sz w:val="24"/>
          <w:szCs w:val="24"/>
        </w:rPr>
      </w:pPr>
      <w:r>
        <w:rPr>
          <w:rFonts w:ascii="宋体" w:hAnsi="宋体" w:cs="宋体"/>
          <w:kern w:val="0"/>
        </w:rPr>
        <w:t>1.</w:t>
      </w:r>
      <w:r>
        <w:rPr>
          <w:rFonts w:hint="eastAsia" w:ascii="宋体" w:hAnsi="宋体" w:cs="宋体"/>
          <w:kern w:val="0"/>
        </w:rPr>
        <w:t>2“是否偏离及说明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spacing w:line="400" w:lineRule="exact"/>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7"/>
        <w:widowControl/>
        <w:spacing w:before="0" w:beforeAutospacing="0" w:after="150" w:afterAutospacing="0"/>
        <w:rPr>
          <w:rFonts w:ascii="宋体" w:hAnsi="宋体"/>
          <w:szCs w:val="24"/>
        </w:rPr>
      </w:pPr>
      <w:r>
        <w:rPr>
          <w:rFonts w:hint="eastAsia" w:ascii="宋体" w:hAnsi="宋体" w:cs="宋体"/>
          <w:szCs w:val="24"/>
        </w:rPr>
        <w:t> </w:t>
      </w:r>
    </w:p>
    <w:p>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line="400" w:lineRule="exact"/>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line="400" w:lineRule="exact"/>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line="400" w:lineRule="exact"/>
        <w:jc w:val="left"/>
        <w:rPr>
          <w:rFonts w:ascii="宋体"/>
          <w:kern w:val="0"/>
          <w:sz w:val="24"/>
          <w:szCs w:val="24"/>
        </w:rPr>
      </w:pPr>
      <w:r>
        <w:rPr>
          <w:rFonts w:ascii="宋体" w:hAnsi="宋体" w:cs="宋体"/>
          <w:kern w:val="0"/>
        </w:rPr>
        <w:t>1.</w:t>
      </w:r>
      <w:r>
        <w:rPr>
          <w:rFonts w:hint="eastAsia" w:ascii="宋体" w:hAnsi="宋体" w:cs="宋体"/>
          <w:kern w:val="0"/>
        </w:rPr>
        <w:t>2“是否偏离及说明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spacing w:line="400" w:lineRule="exact"/>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w:t>
      </w:r>
      <w:r>
        <w:rPr>
          <w:rFonts w:ascii="宋体" w:hAnsi="宋体" w:cs="宋体"/>
          <w:b/>
          <w:bCs/>
          <w:sz w:val="24"/>
          <w:szCs w:val="24"/>
        </w:rPr>
        <w:t>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w:t>
      </w:r>
      <w:r>
        <w:rPr>
          <w:rFonts w:ascii="宋体" w:hAnsi="宋体" w:cs="宋体"/>
          <w:sz w:val="24"/>
          <w:szCs w:val="24"/>
        </w:rPr>
        <w:t>{具体品目以《节能产品政府采购品目清单》（财库〔2019〕19号）中“★”标注为准}。若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32"/>
          <w:szCs w:val="22"/>
        </w:rPr>
      </w:pPr>
      <w:r>
        <w:rPr>
          <w:rFonts w:hint="eastAsia" w:ascii="宋体" w:hAnsi="宋体" w:cs="宋体"/>
          <w:kern w:val="0"/>
          <w:sz w:val="24"/>
        </w:rPr>
        <w:t>致：</w:t>
      </w:r>
    </w:p>
    <w:p>
      <w:pPr>
        <w:spacing w:line="400" w:lineRule="exact"/>
        <w:ind w:firstLine="470" w:firstLineChars="196"/>
        <w:rPr>
          <w:rFonts w:ascii="宋体" w:hAnsi="宋体" w:cs="宋体"/>
          <w:b/>
          <w:kern w:val="0"/>
          <w:sz w:val="32"/>
          <w:szCs w:val="22"/>
        </w:rPr>
      </w:pPr>
      <w:r>
        <w:rPr>
          <w:sz w:val="24"/>
          <w:szCs w:val="22"/>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2"/>
        </w:rPr>
        <w:t>；</w:t>
      </w:r>
    </w:p>
    <w:p>
      <w:pPr>
        <w:rPr>
          <w:rFonts w:ascii="宋体" w:hAnsi="宋体" w:cs="宋体"/>
          <w:kern w:val="0"/>
          <w:sz w:val="24"/>
        </w:rPr>
      </w:pPr>
    </w:p>
    <w:p>
      <w:pPr>
        <w:rPr>
          <w:rFonts w:ascii="宋体" w:hAnsi="宋体" w:cs="宋体"/>
          <w:b/>
          <w:bCs/>
          <w:kern w:val="0"/>
          <w:sz w:val="24"/>
        </w:rPr>
      </w:pPr>
      <w:r>
        <w:rPr>
          <w:rFonts w:hint="eastAsia" w:ascii="宋体" w:hAnsi="宋体" w:cs="宋体"/>
          <w:b/>
          <w:bCs/>
          <w:kern w:val="0"/>
          <w:sz w:val="24"/>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9"/>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公告（项目编号:</w:t>
      </w:r>
      <w:r>
        <w:rPr>
          <w:rFonts w:hint="eastAsia" w:ascii="宋体" w:hAnsi="宋体"/>
          <w:sz w:val="24"/>
          <w:u w:val="single"/>
        </w:rPr>
        <w:t xml:space="preserve">           </w:t>
      </w:r>
      <w:r>
        <w:rPr>
          <w:rFonts w:hint="eastAsia" w:ascii="宋体" w:hAnsi="宋体"/>
          <w:sz w:val="24"/>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ind w:firstLine="241" w:firstLineChars="100"/>
        <w:rPr>
          <w:rFonts w:ascii="宋体" w:hAnsi="宋体" w:cs="宋体"/>
          <w:b/>
          <w:kern w:val="0"/>
          <w:sz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福建省智信招标有限公司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28</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29</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rPr>
      <w:t xml:space="preserve">福建省智信招标有限公司网上竞价文件  </w:t>
    </w: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rPr>
      <w:t xml:space="preserve">福建省智信招标有限公司网上竞价文件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rPr>
      <w:t xml:space="preserve">福建省智信招标有限公司网上竞价文件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ZDNjZDlmZjFmZTMyNGRmNDg2ODA4MTE3ZGJhMTY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050C"/>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2EDB"/>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4AD1"/>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9A9"/>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47C2"/>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6F8"/>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35984"/>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60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467"/>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06BE"/>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C4F9A"/>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1469"/>
    <w:rsid w:val="00CB3E3B"/>
    <w:rsid w:val="00CB4EF7"/>
    <w:rsid w:val="00CB5B96"/>
    <w:rsid w:val="00CB5F13"/>
    <w:rsid w:val="00CB6932"/>
    <w:rsid w:val="00CB6C0D"/>
    <w:rsid w:val="00CB73AF"/>
    <w:rsid w:val="00CC1494"/>
    <w:rsid w:val="00CC17C6"/>
    <w:rsid w:val="00CC3260"/>
    <w:rsid w:val="00CC4288"/>
    <w:rsid w:val="00CC4813"/>
    <w:rsid w:val="00CC57FC"/>
    <w:rsid w:val="00CC589C"/>
    <w:rsid w:val="00CC6245"/>
    <w:rsid w:val="00CC7162"/>
    <w:rsid w:val="00CD018F"/>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E809DA"/>
    <w:rsid w:val="03CB056E"/>
    <w:rsid w:val="05F628AD"/>
    <w:rsid w:val="070F62AC"/>
    <w:rsid w:val="0CAA6A3C"/>
    <w:rsid w:val="12647A72"/>
    <w:rsid w:val="12863075"/>
    <w:rsid w:val="12FE7EC7"/>
    <w:rsid w:val="131D1F3C"/>
    <w:rsid w:val="13E12707"/>
    <w:rsid w:val="15293E44"/>
    <w:rsid w:val="1719707D"/>
    <w:rsid w:val="192D1D3D"/>
    <w:rsid w:val="1B4B4048"/>
    <w:rsid w:val="1B58715D"/>
    <w:rsid w:val="1D2F1B67"/>
    <w:rsid w:val="1FF771B6"/>
    <w:rsid w:val="203F4877"/>
    <w:rsid w:val="20FB668E"/>
    <w:rsid w:val="211D2598"/>
    <w:rsid w:val="215929A0"/>
    <w:rsid w:val="219771C8"/>
    <w:rsid w:val="26283AC3"/>
    <w:rsid w:val="265674C8"/>
    <w:rsid w:val="26775DCC"/>
    <w:rsid w:val="27CF4A7F"/>
    <w:rsid w:val="28F63D6C"/>
    <w:rsid w:val="2B8C0B0C"/>
    <w:rsid w:val="2C7B6DEE"/>
    <w:rsid w:val="2C8237A7"/>
    <w:rsid w:val="2E6D122D"/>
    <w:rsid w:val="308F4929"/>
    <w:rsid w:val="32544FB6"/>
    <w:rsid w:val="32997758"/>
    <w:rsid w:val="39286D47"/>
    <w:rsid w:val="39587436"/>
    <w:rsid w:val="3B9E042B"/>
    <w:rsid w:val="3BA945C4"/>
    <w:rsid w:val="3C326C3F"/>
    <w:rsid w:val="3CC32FD3"/>
    <w:rsid w:val="3D3A0D3F"/>
    <w:rsid w:val="3DE67283"/>
    <w:rsid w:val="3E740EBA"/>
    <w:rsid w:val="42C30D3F"/>
    <w:rsid w:val="437B3735"/>
    <w:rsid w:val="45244CBC"/>
    <w:rsid w:val="45E30F42"/>
    <w:rsid w:val="4683543A"/>
    <w:rsid w:val="48FF6CB3"/>
    <w:rsid w:val="4EE240C7"/>
    <w:rsid w:val="4F472F31"/>
    <w:rsid w:val="54E87F79"/>
    <w:rsid w:val="55AF3285"/>
    <w:rsid w:val="56BF19DE"/>
    <w:rsid w:val="5846521D"/>
    <w:rsid w:val="5CE943C9"/>
    <w:rsid w:val="5E96583F"/>
    <w:rsid w:val="5EB66A16"/>
    <w:rsid w:val="600F4147"/>
    <w:rsid w:val="63B86233"/>
    <w:rsid w:val="63F37FDC"/>
    <w:rsid w:val="65042187"/>
    <w:rsid w:val="652A30AC"/>
    <w:rsid w:val="659237C6"/>
    <w:rsid w:val="66404F26"/>
    <w:rsid w:val="674848E9"/>
    <w:rsid w:val="6C606E64"/>
    <w:rsid w:val="71D14CB7"/>
    <w:rsid w:val="72832D56"/>
    <w:rsid w:val="76067942"/>
    <w:rsid w:val="76ED2FFA"/>
    <w:rsid w:val="778031BB"/>
    <w:rsid w:val="79667075"/>
    <w:rsid w:val="7A443FC8"/>
    <w:rsid w:val="7D1356BA"/>
    <w:rsid w:val="7DF322F1"/>
    <w:rsid w:val="7EDF3D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29"/>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next w:val="1"/>
    <w:qFormat/>
    <w:uiPriority w:val="0"/>
    <w:pPr>
      <w:widowControl w:val="0"/>
      <w:jc w:val="both"/>
    </w:pPr>
    <w:rPr>
      <w:rFonts w:ascii="Times New Roman" w:hAnsi="Times New Roman" w:eastAsia="宋体" w:cs="Times New Roman"/>
      <w:kern w:val="2"/>
      <w:sz w:val="21"/>
      <w:lang w:val="en-US" w:eastAsia="zh-CN" w:bidi="ar-SA"/>
    </w:rPr>
  </w:style>
  <w:style w:type="paragraph" w:styleId="5">
    <w:name w:val="Document Map"/>
    <w:basedOn w:val="1"/>
    <w:link w:val="30"/>
    <w:semiHidden/>
    <w:qFormat/>
    <w:uiPriority w:val="0"/>
    <w:pPr>
      <w:shd w:val="clear" w:color="auto" w:fill="000080"/>
    </w:pPr>
  </w:style>
  <w:style w:type="paragraph" w:styleId="6">
    <w:name w:val="annotation text"/>
    <w:basedOn w:val="1"/>
    <w:link w:val="31"/>
    <w:qFormat/>
    <w:uiPriority w:val="0"/>
    <w:pPr>
      <w:jc w:val="left"/>
    </w:pPr>
  </w:style>
  <w:style w:type="paragraph" w:styleId="7">
    <w:name w:val="Closing"/>
    <w:basedOn w:val="1"/>
    <w:link w:val="32"/>
    <w:unhideWhenUsed/>
    <w:qFormat/>
    <w:uiPriority w:val="0"/>
    <w:pPr>
      <w:ind w:left="100" w:leftChars="2100"/>
    </w:pPr>
    <w:rPr>
      <w:szCs w:val="24"/>
    </w:rPr>
  </w:style>
  <w:style w:type="paragraph" w:styleId="8">
    <w:name w:val="Body Text"/>
    <w:basedOn w:val="1"/>
    <w:next w:val="9"/>
    <w:link w:val="33"/>
    <w:qFormat/>
    <w:uiPriority w:val="0"/>
    <w:pPr>
      <w:spacing w:after="120"/>
    </w:pPr>
  </w:style>
  <w:style w:type="paragraph" w:styleId="9">
    <w:name w:val="Plain Text"/>
    <w:basedOn w:val="1"/>
    <w:link w:val="34"/>
    <w:qFormat/>
    <w:uiPriority w:val="0"/>
    <w:rPr>
      <w:rFonts w:ascii="宋体" w:hAnsi="Courier New"/>
    </w:rPr>
  </w:style>
  <w:style w:type="paragraph" w:styleId="10">
    <w:name w:val="Body Text Indent"/>
    <w:basedOn w:val="1"/>
    <w:next w:val="11"/>
    <w:link w:val="35"/>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6"/>
    <w:qFormat/>
    <w:uiPriority w:val="0"/>
    <w:rPr>
      <w:sz w:val="18"/>
      <w:szCs w:val="18"/>
    </w:rPr>
  </w:style>
  <w:style w:type="paragraph" w:styleId="13">
    <w:name w:val="footer"/>
    <w:basedOn w:val="1"/>
    <w:link w:val="37"/>
    <w:qFormat/>
    <w:uiPriority w:val="0"/>
    <w:pPr>
      <w:tabs>
        <w:tab w:val="center" w:pos="4153"/>
        <w:tab w:val="right" w:pos="8306"/>
      </w:tabs>
      <w:snapToGrid w:val="0"/>
      <w:jc w:val="left"/>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9"/>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6"/>
    <w:next w:val="6"/>
    <w:link w:val="40"/>
    <w:qFormat/>
    <w:uiPriority w:val="0"/>
    <w:rPr>
      <w:b/>
      <w:bCs/>
    </w:rPr>
  </w:style>
  <w:style w:type="paragraph" w:styleId="19">
    <w:name w:val="Body Text First Indent 2"/>
    <w:basedOn w:val="10"/>
    <w:link w:val="41"/>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paragraph" w:customStyle="1" w:styleId="27">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character" w:customStyle="1" w:styleId="28">
    <w:name w:val="标题 1 Char"/>
    <w:basedOn w:val="22"/>
    <w:link w:val="3"/>
    <w:qFormat/>
    <w:uiPriority w:val="0"/>
    <w:rPr>
      <w:rFonts w:ascii="Times New Roman" w:hAnsi="Times New Roman" w:eastAsia="黑体" w:cs="Times New Roman"/>
      <w:b/>
      <w:kern w:val="44"/>
      <w:sz w:val="36"/>
      <w:szCs w:val="20"/>
    </w:rPr>
  </w:style>
  <w:style w:type="character" w:customStyle="1" w:styleId="29">
    <w:name w:val="标题 3 Char"/>
    <w:basedOn w:val="22"/>
    <w:link w:val="4"/>
    <w:qFormat/>
    <w:uiPriority w:val="0"/>
    <w:rPr>
      <w:rFonts w:ascii="Times New Roman" w:hAnsi="Times New Roman" w:eastAsia="黑体" w:cs="Times New Roman"/>
      <w:b/>
      <w:kern w:val="44"/>
      <w:sz w:val="32"/>
      <w:szCs w:val="20"/>
    </w:rPr>
  </w:style>
  <w:style w:type="character" w:customStyle="1" w:styleId="30">
    <w:name w:val="文档结构图 Char"/>
    <w:basedOn w:val="22"/>
    <w:link w:val="5"/>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2"/>
    <w:link w:val="6"/>
    <w:qFormat/>
    <w:uiPriority w:val="0"/>
    <w:rPr>
      <w:rFonts w:ascii="Times New Roman" w:hAnsi="Times New Roman" w:eastAsia="宋体" w:cs="Times New Roman"/>
      <w:szCs w:val="20"/>
    </w:rPr>
  </w:style>
  <w:style w:type="character" w:customStyle="1" w:styleId="32">
    <w:name w:val="结束语 Char"/>
    <w:basedOn w:val="22"/>
    <w:link w:val="7"/>
    <w:qFormat/>
    <w:uiPriority w:val="0"/>
    <w:rPr>
      <w:rFonts w:ascii="Times New Roman" w:hAnsi="Times New Roman" w:eastAsia="宋体" w:cs="Times New Roman"/>
      <w:szCs w:val="24"/>
    </w:rPr>
  </w:style>
  <w:style w:type="character" w:customStyle="1" w:styleId="33">
    <w:name w:val="正文文本 Char"/>
    <w:basedOn w:val="22"/>
    <w:link w:val="8"/>
    <w:qFormat/>
    <w:uiPriority w:val="0"/>
    <w:rPr>
      <w:rFonts w:ascii="Times New Roman" w:hAnsi="Times New Roman" w:eastAsia="宋体" w:cs="Times New Roman"/>
      <w:szCs w:val="20"/>
    </w:rPr>
  </w:style>
  <w:style w:type="character" w:customStyle="1" w:styleId="34">
    <w:name w:val="纯文本 Char"/>
    <w:basedOn w:val="22"/>
    <w:link w:val="9"/>
    <w:qFormat/>
    <w:uiPriority w:val="0"/>
    <w:rPr>
      <w:rFonts w:ascii="宋体" w:hAnsi="Courier New" w:eastAsia="宋体" w:cs="Times New Roman"/>
      <w:szCs w:val="20"/>
    </w:rPr>
  </w:style>
  <w:style w:type="character" w:customStyle="1" w:styleId="35">
    <w:name w:val="正文文本缩进 Char"/>
    <w:basedOn w:val="22"/>
    <w:link w:val="10"/>
    <w:qFormat/>
    <w:uiPriority w:val="99"/>
    <w:rPr>
      <w:rFonts w:ascii="楷体_GB2312" w:hAnsi="Times New Roman" w:eastAsia="楷体_GB2312" w:cs="Times New Roman"/>
      <w:sz w:val="32"/>
      <w:szCs w:val="20"/>
    </w:rPr>
  </w:style>
  <w:style w:type="character" w:customStyle="1" w:styleId="36">
    <w:name w:val="批注框文本 Char"/>
    <w:basedOn w:val="22"/>
    <w:link w:val="12"/>
    <w:qFormat/>
    <w:uiPriority w:val="0"/>
    <w:rPr>
      <w:rFonts w:ascii="Times New Roman" w:hAnsi="Times New Roman" w:eastAsia="宋体" w:cs="Times New Roman"/>
      <w:sz w:val="18"/>
      <w:szCs w:val="18"/>
    </w:rPr>
  </w:style>
  <w:style w:type="character" w:customStyle="1" w:styleId="37">
    <w:name w:val="页脚 Char"/>
    <w:basedOn w:val="22"/>
    <w:link w:val="13"/>
    <w:qFormat/>
    <w:uiPriority w:val="0"/>
    <w:rPr>
      <w:rFonts w:ascii="Times New Roman" w:hAnsi="Times New Roman" w:eastAsia="宋体" w:cs="Times New Roman"/>
      <w:sz w:val="18"/>
      <w:szCs w:val="18"/>
    </w:rPr>
  </w:style>
  <w:style w:type="character" w:customStyle="1" w:styleId="38">
    <w:name w:val="页眉 Char"/>
    <w:basedOn w:val="22"/>
    <w:link w:val="14"/>
    <w:qFormat/>
    <w:uiPriority w:val="0"/>
    <w:rPr>
      <w:rFonts w:ascii="Times New Roman" w:hAnsi="Times New Roman" w:eastAsia="宋体" w:cs="Times New Roman"/>
      <w:sz w:val="18"/>
      <w:szCs w:val="18"/>
    </w:rPr>
  </w:style>
  <w:style w:type="character" w:customStyle="1" w:styleId="39">
    <w:name w:val="正文文本 2 Char"/>
    <w:basedOn w:val="22"/>
    <w:link w:val="16"/>
    <w:qFormat/>
    <w:uiPriority w:val="0"/>
    <w:rPr>
      <w:rFonts w:ascii="Times New Roman" w:hAnsi="Times New Roman" w:eastAsia="宋体" w:cs="Times New Roman"/>
      <w:szCs w:val="20"/>
    </w:rPr>
  </w:style>
  <w:style w:type="character" w:customStyle="1" w:styleId="40">
    <w:name w:val="批注主题 Char"/>
    <w:basedOn w:val="31"/>
    <w:link w:val="18"/>
    <w:qFormat/>
    <w:uiPriority w:val="0"/>
    <w:rPr>
      <w:rFonts w:ascii="Times New Roman" w:hAnsi="Times New Roman" w:eastAsia="宋体" w:cs="Times New Roman"/>
      <w:b/>
      <w:bCs/>
      <w:szCs w:val="20"/>
    </w:rPr>
  </w:style>
  <w:style w:type="character" w:customStyle="1" w:styleId="41">
    <w:name w:val="正文首行缩进 2 Char"/>
    <w:basedOn w:val="35"/>
    <w:link w:val="19"/>
    <w:qFormat/>
    <w:uiPriority w:val="99"/>
    <w:rPr>
      <w:rFonts w:ascii="Times New Roman" w:hAnsi="Times New Roman" w:eastAsia="宋体" w:cs="Times New Roman"/>
      <w:sz w:val="32"/>
      <w:szCs w:val="24"/>
    </w:rPr>
  </w:style>
  <w:style w:type="character" w:customStyle="1" w:styleId="42">
    <w:name w:val="text11"/>
    <w:qFormat/>
    <w:uiPriority w:val="0"/>
    <w:rPr>
      <w:rFonts w:hint="default" w:ascii="Verdana" w:hAnsi="Verdana"/>
      <w:color w:val="4E4E4E"/>
      <w:sz w:val="18"/>
      <w:szCs w:val="18"/>
    </w:rPr>
  </w:style>
  <w:style w:type="paragraph" w:customStyle="1" w:styleId="43">
    <w:name w:val="Char Char14"/>
    <w:basedOn w:val="5"/>
    <w:qFormat/>
    <w:uiPriority w:val="0"/>
    <w:pPr>
      <w:adjustRightInd w:val="0"/>
      <w:snapToGrid w:val="0"/>
      <w:spacing w:line="360" w:lineRule="auto"/>
    </w:pPr>
  </w:style>
  <w:style w:type="paragraph" w:customStyle="1" w:styleId="44">
    <w:name w:val="样式3"/>
    <w:basedOn w:val="9"/>
    <w:qFormat/>
    <w:uiPriority w:val="0"/>
    <w:pPr>
      <w:spacing w:line="0" w:lineRule="atLeast"/>
      <w:outlineLvl w:val="0"/>
    </w:pPr>
    <w:rPr>
      <w:sz w:val="28"/>
    </w:rPr>
  </w:style>
  <w:style w:type="paragraph" w:customStyle="1" w:styleId="45">
    <w:name w:val="Char1 Char Char Char Char Char Char"/>
    <w:basedOn w:val="1"/>
    <w:qFormat/>
    <w:uiPriority w:val="0"/>
    <w:rPr>
      <w:rFonts w:ascii="Tahoma" w:hAnsi="Tahoma"/>
      <w:sz w:val="24"/>
    </w:rPr>
  </w:style>
  <w:style w:type="paragraph" w:customStyle="1" w:styleId="46">
    <w:name w:val="样式2"/>
    <w:basedOn w:val="15"/>
    <w:qFormat/>
    <w:uiPriority w:val="0"/>
  </w:style>
  <w:style w:type="paragraph" w:customStyle="1" w:styleId="47">
    <w:name w:val="标准"/>
    <w:basedOn w:val="1"/>
    <w:qFormat/>
    <w:uiPriority w:val="0"/>
    <w:pPr>
      <w:spacing w:line="360" w:lineRule="auto"/>
      <w:ind w:firstLine="200" w:firstLineChars="200"/>
    </w:pPr>
    <w:rPr>
      <w:rFonts w:cs="宋体"/>
    </w:rPr>
  </w:style>
  <w:style w:type="paragraph" w:customStyle="1" w:styleId="48">
    <w:name w:val="列表段落"/>
    <w:basedOn w:val="1"/>
    <w:qFormat/>
    <w:uiPriority w:val="34"/>
    <w:pPr>
      <w:ind w:firstLine="420" w:firstLineChars="200"/>
    </w:pPr>
    <w:rPr>
      <w:rFonts w:ascii="Calibri" w:hAnsi="Calibri"/>
      <w:szCs w:val="22"/>
    </w:rPr>
  </w:style>
  <w:style w:type="paragraph" w:customStyle="1" w:styleId="49">
    <w:name w:val="列表段落1"/>
    <w:basedOn w:val="1"/>
    <w:qFormat/>
    <w:uiPriority w:val="0"/>
    <w:pPr>
      <w:ind w:firstLine="420" w:firstLineChars="200"/>
    </w:pPr>
    <w:rPr>
      <w:rFonts w:cs="黑体"/>
      <w:szCs w:val="22"/>
    </w:rPr>
  </w:style>
  <w:style w:type="paragraph" w:customStyle="1" w:styleId="50">
    <w:name w:val="null3"/>
    <w:qFormat/>
    <w:uiPriority w:val="0"/>
    <w:rPr>
      <w:rFonts w:hint="eastAsia" w:ascii="Calibri" w:hAnsi="Calibri" w:eastAsia="宋体" w:cs="Times New Roman"/>
      <w:lang w:val="en-US" w:eastAsia="zh-CN" w:bidi="ar-SA"/>
    </w:rPr>
  </w:style>
  <w:style w:type="paragraph" w:styleId="51">
    <w:name w:val="List Paragraph"/>
    <w:basedOn w:val="1"/>
    <w:qFormat/>
    <w:uiPriority w:val="34"/>
    <w:pPr>
      <w:ind w:firstLine="420" w:firstLineChars="200"/>
    </w:pPr>
  </w:style>
  <w:style w:type="character" w:customStyle="1" w:styleId="52">
    <w:name w:val="font41"/>
    <w:basedOn w:val="2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171B-D948-4570-826F-8B0F3D8B61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26747</Words>
  <Characters>29336</Characters>
  <Lines>129</Lines>
  <Paragraphs>36</Paragraphs>
  <TotalTime>2</TotalTime>
  <ScaleCrop>false</ScaleCrop>
  <LinksUpToDate>false</LinksUpToDate>
  <CharactersWithSpaces>31543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2023-03-08T07:32:00Z</cp:lastPrinted>
  <dcterms:modified xsi:type="dcterms:W3CDTF">2023-07-19T04:26:13Z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B96C80B624954B729C30C61068A85FC3_13</vt:lpwstr>
  </property>
</Properties>
</file>