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Ansi="宋体"/>
          <w:b/>
          <w:sz w:val="32"/>
          <w:szCs w:val="32"/>
        </w:rPr>
      </w:pPr>
      <w:r>
        <w:rPr>
          <w:rFonts w:hint="eastAsia" w:hAnsi="宋体"/>
          <w:b/>
          <w:sz w:val="32"/>
          <w:szCs w:val="32"/>
        </w:rPr>
        <w:t>项目编号：JJZB-2023-49</w:t>
      </w:r>
    </w:p>
    <w:p>
      <w:pPr>
        <w:pStyle w:val="9"/>
        <w:spacing w:line="640" w:lineRule="exact"/>
        <w:ind w:firstLine="1285" w:firstLineChars="400"/>
        <w:rPr>
          <w:rFonts w:hAnsi="宋体"/>
          <w:b/>
          <w:sz w:val="32"/>
          <w:szCs w:val="32"/>
        </w:rPr>
      </w:pPr>
      <w:r>
        <w:rPr>
          <w:rFonts w:hint="eastAsia" w:hAnsi="宋体"/>
          <w:b/>
          <w:sz w:val="32"/>
          <w:szCs w:val="32"/>
        </w:rPr>
        <w:t>项目名称：福建农林大学交通与土木工程学院</w:t>
      </w:r>
    </w:p>
    <w:p>
      <w:pPr>
        <w:pStyle w:val="9"/>
        <w:spacing w:line="640" w:lineRule="exact"/>
        <w:ind w:firstLine="2891" w:firstLineChars="900"/>
        <w:rPr>
          <w:rFonts w:hAnsi="宋体"/>
          <w:b/>
          <w:sz w:val="32"/>
          <w:szCs w:val="32"/>
          <w:u w:val="single"/>
        </w:rPr>
      </w:pPr>
      <w:r>
        <w:rPr>
          <w:rFonts w:hint="eastAsia" w:hAnsi="宋体"/>
          <w:b/>
          <w:sz w:val="32"/>
          <w:szCs w:val="32"/>
        </w:rPr>
        <w:t>傅里叶红外光谱仪采购</w:t>
      </w:r>
    </w:p>
    <w:p>
      <w:pPr>
        <w:pStyle w:val="9"/>
        <w:spacing w:line="640" w:lineRule="exact"/>
        <w:ind w:firstLine="1285" w:firstLineChars="4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二〇二三年十一月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话：0591-87616211、87530730转805</w:t>
      </w:r>
    </w:p>
    <w:p>
      <w:pPr>
        <w:snapToGrid w:val="0"/>
        <w:spacing w:line="400" w:lineRule="exact"/>
        <w:rPr>
          <w:rFonts w:ascii="新宋体" w:hAnsi="新宋体" w:eastAsia="新宋体"/>
          <w:b/>
        </w:rPr>
      </w:pPr>
      <w:r>
        <w:rPr>
          <w:rFonts w:hint="eastAsia" w:ascii="新宋体" w:hAnsi="新宋体" w:eastAsia="新宋体"/>
          <w:b/>
        </w:rPr>
        <w:t>邮    编：350003</w:t>
      </w:r>
    </w:p>
    <w:p>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4"/>
          <w:rFonts w:ascii="新宋体" w:hAnsi="新宋体" w:eastAsia="新宋体"/>
          <w:b/>
        </w:rPr>
        <w:t>http://www.fjzxzb.com</w:t>
      </w:r>
      <w:r>
        <w:rPr>
          <w:rStyle w:val="24"/>
          <w:rFonts w:ascii="新宋体" w:hAnsi="新宋体" w:eastAsia="新宋体"/>
          <w:b/>
        </w:rPr>
        <w:fldChar w:fldCharType="end"/>
      </w:r>
    </w:p>
    <w:p>
      <w:pPr>
        <w:pStyle w:val="18"/>
        <w:rPr>
          <w:rFonts w:ascii="宋体" w:hAnsi="宋体"/>
          <w:highlight w:val="none"/>
        </w:rPr>
      </w:pPr>
    </w:p>
    <w:p>
      <w:pPr>
        <w:rPr>
          <w:rFonts w:ascii="宋体" w:hAnsi="宋体"/>
          <w:b/>
          <w:sz w:val="28"/>
          <w:szCs w:val="28"/>
        </w:rPr>
      </w:pPr>
      <w:bookmarkStart w:id="1" w:name="_GoBack"/>
      <w:bookmarkEnd w:id="1"/>
      <w:r>
        <w:rPr>
          <w:rFonts w:ascii="宋体" w:hAnsi="宋体"/>
          <w:b/>
          <w:sz w:val="28"/>
          <w:szCs w:val="28"/>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rPr>
          <w:rFonts w:ascii="宋体" w:hAnsi="宋体"/>
          <w:sz w:val="24"/>
          <w:szCs w:val="24"/>
        </w:rPr>
      </w:pPr>
      <w:r>
        <w:rPr>
          <w:rFonts w:hint="eastAsia" w:ascii="宋体" w:hAnsi="宋体"/>
          <w:sz w:val="24"/>
          <w:szCs w:val="24"/>
        </w:rPr>
        <w:t>1、项目编号：JJZB-2023-49</w:t>
      </w:r>
    </w:p>
    <w:p>
      <w:pPr>
        <w:spacing w:line="440" w:lineRule="exact"/>
        <w:ind w:firstLine="480"/>
        <w:rPr>
          <w:rFonts w:ascii="宋体" w:hAnsi="宋体"/>
          <w:sz w:val="24"/>
          <w:szCs w:val="24"/>
        </w:rPr>
      </w:pPr>
      <w:r>
        <w:rPr>
          <w:rFonts w:hint="eastAsia" w:ascii="宋体" w:hAnsi="宋体"/>
          <w:sz w:val="24"/>
          <w:szCs w:val="24"/>
        </w:rPr>
        <w:t>2、项目名称：福建农林大学交通与土木工程学院傅里叶红外光谱仪采购</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日</w:t>
      </w:r>
      <w:r>
        <w:rPr>
          <w:rFonts w:hint="eastAsia" w:ascii="宋体" w:hAnsi="宋体"/>
          <w:sz w:val="24"/>
          <w:szCs w:val="24"/>
          <w:highlight w:val="none"/>
        </w:rPr>
        <w:t xml:space="preserve">  </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23</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　</w:t>
      </w:r>
    </w:p>
    <w:p>
      <w:pPr>
        <w:spacing w:line="440" w:lineRule="exact"/>
        <w:ind w:firstLine="480" w:firstLineChars="200"/>
        <w:rPr>
          <w:rFonts w:ascii="宋体" w:hAnsi="宋体"/>
          <w:sz w:val="24"/>
          <w:szCs w:val="24"/>
        </w:rPr>
      </w:pPr>
      <w:r>
        <w:rPr>
          <w:rFonts w:hint="eastAsia" w:ascii="宋体" w:hAnsi="宋体"/>
          <w:sz w:val="24"/>
          <w:szCs w:val="24"/>
        </w:rPr>
        <w:t>联系人：刘老师</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rPr>
        <w:t>0591-83732680</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话：0591-87616211、87530730转805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2" w:firstLineChars="200"/>
        <w:rPr>
          <w:rFonts w:ascii="宋体" w:hAnsi="宋体"/>
          <w:sz w:val="24"/>
          <w:szCs w:val="24"/>
        </w:rPr>
      </w:pPr>
      <w:r>
        <w:rPr>
          <w:rFonts w:hint="eastAsia" w:ascii="宋体" w:hAnsi="宋体"/>
          <w:b/>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8"/>
        <w:ind w:left="0" w:leftChars="0" w:firstLine="0" w:firstLineChars="0"/>
        <w:rPr>
          <w:rFonts w:ascii="宋体" w:hAnsi="宋体"/>
          <w:sz w:val="24"/>
        </w:rPr>
      </w:pP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91"/>
        <w:gridCol w:w="2029"/>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2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傅里叶红外光谱仪采购</w:t>
            </w:r>
          </w:p>
        </w:tc>
        <w:tc>
          <w:tcPr>
            <w:tcW w:w="2029"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中科瑞捷、能谱科技、港东</w:t>
            </w:r>
          </w:p>
        </w:tc>
        <w:tc>
          <w:tcPr>
            <w:tcW w:w="915"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1套</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115000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cs="新宋体"/>
                <w:kern w:val="0"/>
                <w:sz w:val="24"/>
                <w:szCs w:val="24"/>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合计(大写)：人民币壹拾壹万伍仟元整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 xml:space="preserve">¥115000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shd w:val="clear" w:color="FFFFFF" w:fill="D9D9D9"/>
        </w:rPr>
      </w:pPr>
      <w:r>
        <w:rPr>
          <w:rFonts w:hint="eastAsia" w:ascii="宋体" w:hAnsi="宋体"/>
          <w:b/>
          <w:bCs/>
          <w:sz w:val="24"/>
          <w:szCs w:val="24"/>
        </w:rPr>
        <w:t>（1）</w:t>
      </w:r>
      <w:r>
        <w:rPr>
          <w:rFonts w:hint="eastAsia" w:ascii="宋体" w:hAnsi="宋体"/>
          <w:b/>
          <w:bCs/>
        </w:rPr>
        <w:t xml:space="preserve"> </w:t>
      </w:r>
      <w:r>
        <w:rPr>
          <w:rFonts w:ascii="宋体" w:hAnsi="宋体"/>
          <w:b/>
          <w:bCs/>
          <w:sz w:val="24"/>
          <w:szCs w:val="24"/>
          <w:shd w:val="clear" w:color="FFFFFF" w:fill="D9D9D9"/>
        </w:rPr>
        <w:t>以上项目所列价格为采购预算的最高限价,竞价人报价总价必须低于</w:t>
      </w:r>
      <w:r>
        <w:rPr>
          <w:rFonts w:hint="eastAsia" w:ascii="宋体" w:hAnsi="宋体"/>
          <w:b/>
          <w:bCs/>
          <w:sz w:val="24"/>
          <w:szCs w:val="24"/>
          <w:shd w:val="clear" w:color="FFFFFF" w:fill="D9D9D9"/>
        </w:rPr>
        <w:t>总价</w:t>
      </w:r>
      <w:r>
        <w:rPr>
          <w:rFonts w:ascii="宋体" w:hAnsi="宋体"/>
          <w:b/>
          <w:bCs/>
          <w:sz w:val="24"/>
          <w:szCs w:val="24"/>
          <w:shd w:val="clear" w:color="FFFFFF" w:fill="D9D9D9"/>
        </w:rPr>
        <w:t>最高限价的3%（不含）以上，报价单价不能超过竞价文件的单价最高限价，否则，视为无效报价。</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服务必须满足国家相关法律法规、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rPr>
        <w:t>4、本项目不接受联合体竞价。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ascii="宋体" w:hAnsi="宋体"/>
          <w:sz w:val="24"/>
          <w:szCs w:val="24"/>
        </w:rPr>
      </w:pPr>
      <w:r>
        <w:rPr>
          <w:rFonts w:hint="eastAsia" w:ascii="宋体" w:hAnsi="宋体"/>
          <w:sz w:val="24"/>
          <w:szCs w:val="24"/>
        </w:rPr>
        <w:t>一）技术参数</w:t>
      </w:r>
    </w:p>
    <w:p>
      <w:pPr>
        <w:spacing w:line="440" w:lineRule="exact"/>
        <w:ind w:firstLine="481"/>
        <w:rPr>
          <w:rFonts w:ascii="宋体" w:hAnsi="宋体"/>
          <w:sz w:val="24"/>
          <w:szCs w:val="24"/>
        </w:rPr>
      </w:pPr>
      <w:r>
        <w:rPr>
          <w:rFonts w:hint="eastAsia" w:ascii="宋体" w:hAnsi="宋体"/>
          <w:sz w:val="24"/>
          <w:szCs w:val="24"/>
        </w:rPr>
        <w:t>1、干涉仪采用电磁驱动迈克尔逊干涉仪，具有连续动态调整功能，无需光学补偿。自动优化系统能量，无需人工调整。</w:t>
      </w:r>
    </w:p>
    <w:p>
      <w:pPr>
        <w:spacing w:line="440" w:lineRule="exact"/>
        <w:ind w:firstLine="481"/>
        <w:rPr>
          <w:rFonts w:ascii="宋体" w:hAnsi="宋体"/>
          <w:sz w:val="24"/>
          <w:szCs w:val="24"/>
          <w:highlight w:val="yellow"/>
        </w:rPr>
      </w:pPr>
      <w:r>
        <w:rPr>
          <w:rFonts w:hint="eastAsia" w:ascii="宋体" w:hAnsi="宋体"/>
          <w:sz w:val="24"/>
          <w:szCs w:val="24"/>
        </w:rPr>
        <w:t>2、腔体整体密封，整体仪器内部温度均匀，不能采用分腔体密封。</w:t>
      </w:r>
      <w:r>
        <w:rPr>
          <w:rFonts w:hint="eastAsia" w:ascii="宋体" w:hAnsi="宋体"/>
          <w:sz w:val="24"/>
          <w:szCs w:val="24"/>
          <w:lang w:bidi="ar"/>
        </w:rPr>
        <w:t>仪器内置工业级温湿度显示屏，直接数字化实时显示仪器内部温湿度及湿度报警值，当仪器内部达到湿度报警值时（湿度报警值由采购人可行设置），发出蜂鸣声报警，提示采购人及时更换干燥剂。</w:t>
      </w:r>
    </w:p>
    <w:p>
      <w:pPr>
        <w:spacing w:line="440" w:lineRule="exact"/>
        <w:ind w:firstLine="481"/>
        <w:rPr>
          <w:rFonts w:ascii="宋体" w:hAnsi="宋体"/>
          <w:sz w:val="24"/>
          <w:szCs w:val="24"/>
        </w:rPr>
      </w:pPr>
      <w:r>
        <w:rPr>
          <w:rFonts w:hint="eastAsia" w:ascii="宋体" w:hAnsi="宋体"/>
          <w:sz w:val="24"/>
          <w:szCs w:val="24"/>
        </w:rPr>
        <w:t>3、动镜与定镜采用大通光孔径的镀金反射镜。</w:t>
      </w:r>
    </w:p>
    <w:p>
      <w:pPr>
        <w:spacing w:line="440" w:lineRule="exact"/>
        <w:ind w:firstLine="481"/>
        <w:rPr>
          <w:rFonts w:ascii="宋体" w:hAnsi="宋体"/>
          <w:sz w:val="24"/>
          <w:szCs w:val="24"/>
        </w:rPr>
      </w:pPr>
      <w:r>
        <w:rPr>
          <w:rFonts w:hint="eastAsia" w:ascii="宋体" w:hAnsi="宋体"/>
          <w:sz w:val="24"/>
          <w:szCs w:val="24"/>
        </w:rPr>
        <w:t>4、离轴镜采用SPDT切削工艺。</w:t>
      </w:r>
    </w:p>
    <w:p>
      <w:pPr>
        <w:spacing w:line="440" w:lineRule="exact"/>
        <w:ind w:firstLine="481"/>
        <w:rPr>
          <w:rFonts w:ascii="宋体" w:hAnsi="宋体"/>
          <w:sz w:val="24"/>
          <w:szCs w:val="24"/>
        </w:rPr>
      </w:pPr>
      <w:r>
        <w:rPr>
          <w:rFonts w:hint="eastAsia" w:ascii="宋体" w:hAnsi="宋体"/>
          <w:sz w:val="24"/>
          <w:szCs w:val="24"/>
        </w:rPr>
        <w:t>5、主要部件采用对针定位安装，无需调整，增强仪器的稳定性。</w:t>
      </w:r>
    </w:p>
    <w:p>
      <w:pPr>
        <w:spacing w:line="440" w:lineRule="exact"/>
        <w:ind w:firstLine="481"/>
        <w:rPr>
          <w:rFonts w:ascii="宋体" w:hAnsi="宋体"/>
          <w:sz w:val="24"/>
          <w:szCs w:val="24"/>
        </w:rPr>
      </w:pPr>
      <w:r>
        <w:rPr>
          <w:rFonts w:hint="eastAsia" w:ascii="宋体" w:hAnsi="宋体"/>
          <w:sz w:val="24"/>
          <w:szCs w:val="24"/>
        </w:rPr>
        <w:t>6、推拉式样品仓门设计，大大减小外界空气中水和二氧化碳对实验测试结果的干扰。</w:t>
      </w:r>
    </w:p>
    <w:p>
      <w:pPr>
        <w:spacing w:line="440" w:lineRule="exact"/>
        <w:ind w:firstLine="481"/>
        <w:rPr>
          <w:rFonts w:ascii="宋体" w:hAnsi="宋体"/>
          <w:sz w:val="24"/>
          <w:szCs w:val="24"/>
        </w:rPr>
      </w:pPr>
      <w:r>
        <w:rPr>
          <w:rFonts w:hint="eastAsia" w:ascii="宋体" w:hAnsi="宋体"/>
          <w:sz w:val="24"/>
          <w:szCs w:val="24"/>
        </w:rPr>
        <w:t>7、 24 位、500KHz 的A/D 转换，高速USB2.0 接口，兼容USB3.0的高性能电子系统，达到光谱数据实时采集，保证了数据的真实性和可靠性。</w:t>
      </w:r>
    </w:p>
    <w:p>
      <w:pPr>
        <w:spacing w:line="440" w:lineRule="exact"/>
        <w:ind w:firstLine="481"/>
        <w:rPr>
          <w:rFonts w:ascii="宋体" w:hAnsi="宋体"/>
          <w:sz w:val="24"/>
          <w:szCs w:val="24"/>
        </w:rPr>
      </w:pPr>
      <w:r>
        <w:rPr>
          <w:rFonts w:hint="eastAsia" w:ascii="宋体" w:hAnsi="宋体"/>
          <w:sz w:val="24"/>
          <w:szCs w:val="24"/>
        </w:rPr>
        <w:t>8、超大样品仓设计，方便接驳各种附件，如ATR附件，漫反射附件，平面反射附件，气体池等。</w:t>
      </w:r>
    </w:p>
    <w:p>
      <w:pPr>
        <w:spacing w:line="440" w:lineRule="exact"/>
        <w:ind w:firstLine="481"/>
        <w:rPr>
          <w:rFonts w:ascii="宋体" w:hAnsi="宋体"/>
          <w:sz w:val="24"/>
          <w:szCs w:val="24"/>
        </w:rPr>
      </w:pPr>
      <w:r>
        <w:rPr>
          <w:rFonts w:ascii="宋体" w:hAnsi="宋体"/>
          <w:sz w:val="24"/>
          <w:szCs w:val="24"/>
        </w:rPr>
        <w:t>9</w:t>
      </w:r>
      <w:r>
        <w:rPr>
          <w:rFonts w:hint="eastAsia" w:ascii="宋体" w:hAnsi="宋体"/>
          <w:sz w:val="24"/>
          <w:szCs w:val="24"/>
        </w:rPr>
        <w:t>、仪器设计紧凑、小巧，整体重量</w:t>
      </w:r>
      <w:r>
        <w:rPr>
          <w:rFonts w:ascii="宋体" w:hAnsi="宋体"/>
          <w:sz w:val="24"/>
          <w:szCs w:val="24"/>
        </w:rPr>
        <w:t>≤</w:t>
      </w:r>
      <w:r>
        <w:rPr>
          <w:rFonts w:hint="eastAsia" w:ascii="宋体" w:hAnsi="宋体"/>
          <w:sz w:val="24"/>
          <w:szCs w:val="24"/>
        </w:rPr>
        <w:t>14Kg，节省实验台空间。</w:t>
      </w:r>
    </w:p>
    <w:p>
      <w:pPr>
        <w:spacing w:line="440" w:lineRule="exact"/>
        <w:ind w:firstLine="481"/>
        <w:rPr>
          <w:rFonts w:ascii="宋体" w:hAnsi="宋体"/>
          <w:sz w:val="24"/>
          <w:szCs w:val="24"/>
        </w:rPr>
      </w:pPr>
      <w:r>
        <w:rPr>
          <w:rFonts w:ascii="宋体" w:hAnsi="宋体"/>
          <w:sz w:val="24"/>
          <w:szCs w:val="24"/>
        </w:rPr>
        <w:t>10</w:t>
      </w:r>
      <w:r>
        <w:rPr>
          <w:rFonts w:hint="eastAsia" w:ascii="宋体" w:hAnsi="宋体"/>
          <w:sz w:val="24"/>
          <w:szCs w:val="24"/>
        </w:rPr>
        <w:t>、</w:t>
      </w:r>
      <w:r>
        <w:rPr>
          <w:rFonts w:ascii="宋体" w:hAnsi="宋体"/>
          <w:sz w:val="24"/>
          <w:szCs w:val="24"/>
        </w:rPr>
        <w:t>光谱范围：7800cm</w:t>
      </w:r>
      <w:r>
        <w:rPr>
          <w:rFonts w:ascii="宋体" w:hAnsi="宋体"/>
          <w:sz w:val="24"/>
          <w:szCs w:val="24"/>
          <w:vertAlign w:val="superscript"/>
        </w:rPr>
        <w:t>-1</w:t>
      </w:r>
      <w:r>
        <w:rPr>
          <w:rFonts w:ascii="宋体" w:hAnsi="宋体"/>
          <w:sz w:val="24"/>
          <w:szCs w:val="24"/>
        </w:rPr>
        <w:t>~350cm</w:t>
      </w:r>
      <w:r>
        <w:rPr>
          <w:rFonts w:ascii="宋体" w:hAnsi="宋体"/>
          <w:sz w:val="24"/>
          <w:szCs w:val="24"/>
          <w:vertAlign w:val="superscript"/>
        </w:rPr>
        <w:t>-1</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11</w:t>
      </w:r>
      <w:r>
        <w:rPr>
          <w:rFonts w:hint="eastAsia" w:ascii="宋体" w:hAnsi="宋体"/>
          <w:sz w:val="24"/>
          <w:szCs w:val="24"/>
        </w:rPr>
        <w:t>、</w:t>
      </w:r>
      <w:r>
        <w:rPr>
          <w:rFonts w:ascii="宋体" w:hAnsi="宋体"/>
          <w:sz w:val="24"/>
          <w:szCs w:val="24"/>
        </w:rPr>
        <w:t>分辨率: 优于1.0cm</w:t>
      </w:r>
      <w:r>
        <w:rPr>
          <w:rFonts w:ascii="宋体" w:hAnsi="宋体"/>
          <w:sz w:val="24"/>
          <w:szCs w:val="24"/>
          <w:vertAlign w:val="superscript"/>
        </w:rPr>
        <w:t>-1</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12</w:t>
      </w:r>
      <w:r>
        <w:rPr>
          <w:rFonts w:hint="eastAsia" w:ascii="宋体" w:hAnsi="宋体"/>
          <w:sz w:val="24"/>
          <w:szCs w:val="24"/>
        </w:rPr>
        <w:t>、</w:t>
      </w:r>
      <w:r>
        <w:rPr>
          <w:rFonts w:ascii="宋体" w:hAnsi="宋体"/>
          <w:sz w:val="24"/>
          <w:szCs w:val="24"/>
        </w:rPr>
        <w:t>波数精度：优于0.01cm</w:t>
      </w:r>
      <w:r>
        <w:rPr>
          <w:rFonts w:ascii="宋体" w:hAnsi="宋体"/>
          <w:sz w:val="24"/>
          <w:szCs w:val="24"/>
          <w:vertAlign w:val="superscript"/>
        </w:rPr>
        <w:t>-1</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13</w:t>
      </w:r>
      <w:r>
        <w:rPr>
          <w:rFonts w:hint="eastAsia" w:ascii="宋体" w:hAnsi="宋体"/>
          <w:sz w:val="24"/>
          <w:szCs w:val="24"/>
        </w:rPr>
        <w:t>、</w:t>
      </w:r>
      <w:r>
        <w:rPr>
          <w:rFonts w:ascii="宋体" w:hAnsi="宋体"/>
          <w:sz w:val="24"/>
          <w:szCs w:val="24"/>
        </w:rPr>
        <w:t>透光率精度：≤0.5</w:t>
      </w:r>
      <w:r>
        <w:rPr>
          <w:rFonts w:hint="eastAsia" w:ascii="宋体" w:hAnsi="宋体"/>
          <w:sz w:val="24"/>
          <w:szCs w:val="24"/>
        </w:rPr>
        <w:t xml:space="preserve"> </w:t>
      </w:r>
      <w:r>
        <w:rPr>
          <w:rFonts w:ascii="宋体" w:hAnsi="宋体"/>
          <w:sz w:val="24"/>
          <w:szCs w:val="24"/>
        </w:rPr>
        <w:t>T%</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14</w:t>
      </w:r>
      <w:r>
        <w:rPr>
          <w:rFonts w:hint="eastAsia" w:ascii="宋体" w:hAnsi="宋体"/>
          <w:sz w:val="24"/>
          <w:szCs w:val="24"/>
        </w:rPr>
        <w:t>、</w:t>
      </w:r>
      <w:r>
        <w:rPr>
          <w:rFonts w:ascii="宋体" w:hAnsi="宋体"/>
          <w:sz w:val="24"/>
          <w:szCs w:val="24"/>
        </w:rPr>
        <w:t>信噪比：优于30000:1（P-P值）</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15</w:t>
      </w:r>
      <w:r>
        <w:rPr>
          <w:rFonts w:hint="eastAsia" w:ascii="宋体" w:hAnsi="宋体"/>
          <w:sz w:val="24"/>
          <w:szCs w:val="24"/>
        </w:rPr>
        <w:t>、</w:t>
      </w:r>
      <w:r>
        <w:rPr>
          <w:rFonts w:ascii="宋体" w:hAnsi="宋体"/>
          <w:sz w:val="24"/>
          <w:szCs w:val="24"/>
        </w:rPr>
        <w:t>光源：高能量中红外陶瓷光源。</w:t>
      </w:r>
    </w:p>
    <w:p>
      <w:pPr>
        <w:spacing w:line="440" w:lineRule="exact"/>
        <w:ind w:firstLine="481"/>
        <w:rPr>
          <w:rFonts w:ascii="宋体" w:hAnsi="宋体"/>
          <w:sz w:val="24"/>
          <w:szCs w:val="24"/>
        </w:rPr>
      </w:pPr>
      <w:r>
        <w:rPr>
          <w:rFonts w:ascii="宋体" w:hAnsi="宋体"/>
          <w:sz w:val="24"/>
          <w:szCs w:val="24"/>
        </w:rPr>
        <w:t>16</w:t>
      </w:r>
      <w:r>
        <w:rPr>
          <w:rFonts w:hint="eastAsia" w:ascii="宋体" w:hAnsi="宋体"/>
          <w:sz w:val="24"/>
          <w:szCs w:val="24"/>
        </w:rPr>
        <w:t>、</w:t>
      </w:r>
      <w:r>
        <w:rPr>
          <w:rFonts w:ascii="宋体" w:hAnsi="宋体"/>
          <w:sz w:val="24"/>
          <w:szCs w:val="24"/>
        </w:rPr>
        <w:t>激光器：高精度和高稳定性的VCSEL激光器</w:t>
      </w:r>
      <w:r>
        <w:rPr>
          <w:rFonts w:hint="eastAsia" w:ascii="宋体" w:hAnsi="宋体"/>
          <w:sz w:val="24"/>
          <w:szCs w:val="24"/>
        </w:rPr>
        <w:t>，支持NCV非接触电压感应，可以感应是否漏电</w:t>
      </w:r>
      <w:r>
        <w:rPr>
          <w:rFonts w:ascii="宋体" w:hAnsi="宋体"/>
          <w:sz w:val="24"/>
          <w:szCs w:val="24"/>
        </w:rPr>
        <w:t>。</w:t>
      </w:r>
    </w:p>
    <w:p>
      <w:pPr>
        <w:spacing w:line="440" w:lineRule="exact"/>
        <w:ind w:firstLine="481"/>
        <w:rPr>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w:t>
      </w:r>
      <w:r>
        <w:rPr>
          <w:rFonts w:ascii="宋体" w:hAnsi="宋体"/>
          <w:sz w:val="24"/>
          <w:szCs w:val="24"/>
        </w:rPr>
        <w:t>测器：DLATGS检测器</w:t>
      </w:r>
      <w:r>
        <w:rPr>
          <w:rFonts w:hint="eastAsia" w:ascii="宋体" w:hAnsi="宋体"/>
          <w:sz w:val="24"/>
          <w:szCs w:val="24"/>
        </w:rPr>
        <w:t>。</w:t>
      </w:r>
    </w:p>
    <w:p>
      <w:pPr>
        <w:spacing w:line="440" w:lineRule="exact"/>
        <w:ind w:firstLine="481"/>
        <w:rPr>
          <w:rFonts w:ascii="宋体" w:hAnsi="宋体"/>
          <w:sz w:val="24"/>
          <w:szCs w:val="24"/>
        </w:rPr>
      </w:pPr>
      <w:r>
        <w:rPr>
          <w:rFonts w:hint="eastAsia" w:ascii="宋体" w:hAnsi="宋体"/>
          <w:sz w:val="24"/>
          <w:szCs w:val="24"/>
        </w:rPr>
        <w:t>1</w:t>
      </w:r>
      <w:r>
        <w:rPr>
          <w:rFonts w:ascii="宋体" w:hAnsi="宋体"/>
          <w:sz w:val="24"/>
          <w:szCs w:val="24"/>
        </w:rPr>
        <w:t>8</w:t>
      </w:r>
      <w:r>
        <w:rPr>
          <w:rFonts w:hint="eastAsia" w:ascii="宋体" w:hAnsi="宋体"/>
          <w:sz w:val="24"/>
          <w:szCs w:val="24"/>
        </w:rPr>
        <w:t>、</w:t>
      </w:r>
      <w:r>
        <w:rPr>
          <w:rFonts w:ascii="宋体" w:hAnsi="宋体"/>
          <w:sz w:val="24"/>
          <w:szCs w:val="24"/>
        </w:rPr>
        <w:t>电源：100-240V，50/60Hz，宽电压</w:t>
      </w:r>
      <w:r>
        <w:rPr>
          <w:rFonts w:hint="eastAsia" w:ascii="宋体" w:hAnsi="宋体"/>
          <w:sz w:val="24"/>
          <w:szCs w:val="24"/>
        </w:rPr>
        <w:t>，</w:t>
      </w:r>
      <w:r>
        <w:rPr>
          <w:rFonts w:ascii="宋体" w:hAnsi="宋体"/>
          <w:sz w:val="24"/>
          <w:szCs w:val="24"/>
        </w:rPr>
        <w:t>防止电压不稳而对仪器造成损坏</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19</w:t>
      </w:r>
      <w:r>
        <w:rPr>
          <w:rFonts w:hint="eastAsia" w:ascii="宋体" w:hAnsi="宋体"/>
          <w:sz w:val="24"/>
          <w:szCs w:val="24"/>
        </w:rPr>
        <w:t>、</w:t>
      </w:r>
      <w:r>
        <w:rPr>
          <w:rFonts w:ascii="宋体" w:hAnsi="宋体"/>
          <w:sz w:val="24"/>
          <w:szCs w:val="24"/>
        </w:rPr>
        <w:t>USB</w:t>
      </w:r>
      <w:r>
        <w:rPr>
          <w:rFonts w:hint="eastAsia" w:ascii="宋体" w:hAnsi="宋体"/>
          <w:sz w:val="24"/>
          <w:szCs w:val="24"/>
        </w:rPr>
        <w:t xml:space="preserve"> </w:t>
      </w:r>
      <w:r>
        <w:rPr>
          <w:rFonts w:ascii="宋体" w:hAnsi="宋体"/>
          <w:sz w:val="24"/>
          <w:szCs w:val="24"/>
        </w:rPr>
        <w:t>2.0通讯接口</w:t>
      </w:r>
      <w:r>
        <w:rPr>
          <w:rFonts w:hint="eastAsia" w:ascii="宋体" w:hAnsi="宋体"/>
          <w:sz w:val="24"/>
          <w:szCs w:val="24"/>
        </w:rPr>
        <w:t>。</w:t>
      </w:r>
      <w:r>
        <w:rPr>
          <w:rFonts w:ascii="宋体" w:hAnsi="宋体"/>
          <w:sz w:val="24"/>
          <w:szCs w:val="24"/>
        </w:rPr>
        <w:t xml:space="preserve"> </w:t>
      </w:r>
    </w:p>
    <w:p>
      <w:pPr>
        <w:spacing w:line="440" w:lineRule="exact"/>
        <w:ind w:firstLine="481"/>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、可重复使用的304不锈钢盒装干燥剂，干燥剂无需工具，快速装卸。</w:t>
      </w:r>
    </w:p>
    <w:p>
      <w:pPr>
        <w:spacing w:line="440" w:lineRule="exact"/>
        <w:ind w:firstLine="481"/>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w:t>
      </w:r>
      <w:r>
        <w:rPr>
          <w:rFonts w:ascii="宋体" w:hAnsi="宋体"/>
          <w:sz w:val="24"/>
          <w:szCs w:val="24"/>
        </w:rPr>
        <w:t>符合电磁兼容设计规范要求，具有较强的抗电磁干扰能力和整机可靠性，</w:t>
      </w:r>
      <w:r>
        <w:rPr>
          <w:rFonts w:ascii="宋体" w:hAnsi="宋体"/>
          <w:b/>
          <w:bCs/>
          <w:sz w:val="24"/>
          <w:szCs w:val="24"/>
        </w:rPr>
        <w:t>须提供</w:t>
      </w:r>
      <w:r>
        <w:rPr>
          <w:rFonts w:hint="eastAsia" w:ascii="宋体" w:hAnsi="宋体"/>
          <w:b/>
          <w:bCs/>
          <w:sz w:val="24"/>
          <w:szCs w:val="24"/>
        </w:rPr>
        <w:t>国家认可的检验机构出具的</w:t>
      </w:r>
      <w:r>
        <w:rPr>
          <w:rFonts w:ascii="宋体" w:hAnsi="宋体"/>
          <w:b/>
          <w:bCs/>
          <w:sz w:val="24"/>
          <w:szCs w:val="24"/>
        </w:rPr>
        <w:t>检测报告（至少包含传导骚扰检测，静电放电抗扰度检测，射频电磁场辐射抗扰度检测，浪涌（冲击）抗扰度检测）</w:t>
      </w:r>
      <w:r>
        <w:rPr>
          <w:rFonts w:hint="eastAsia" w:ascii="宋体" w:hAnsi="宋体"/>
          <w:sz w:val="24"/>
          <w:szCs w:val="24"/>
        </w:rPr>
        <w:t>。</w:t>
      </w:r>
    </w:p>
    <w:p>
      <w:pPr>
        <w:spacing w:line="440" w:lineRule="exact"/>
        <w:ind w:firstLine="481"/>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w:t>
      </w:r>
      <w:r>
        <w:rPr>
          <w:rFonts w:ascii="宋体" w:hAnsi="宋体"/>
          <w:sz w:val="24"/>
          <w:szCs w:val="24"/>
        </w:rPr>
        <w:t>计算机软件兼容性：兼容Windows XP 、Windows 7、Windows 8、Windows 10等</w:t>
      </w:r>
      <w:r>
        <w:rPr>
          <w:rFonts w:hint="eastAsia" w:ascii="宋体" w:hAnsi="宋体"/>
          <w:sz w:val="24"/>
          <w:szCs w:val="24"/>
        </w:rPr>
        <w:t>；连接装置：协议：内置 Web 服务器，支持 HTTP(S)；SSH Command Line Interface; RS-232 (Serial); SNMP versionv1/v2c/v3; SMTP; IPv6/IPv4; JSON-RPC(HTTP)等网络协议；热测量特别功能：简单缩放设置：直接输入热流传感器的灵敏度；运算：便于进行热流测量的波形运算（单纯平均、移动平均、累积、热贯流率），数据运算的累积等。</w:t>
      </w:r>
    </w:p>
    <w:p>
      <w:pPr>
        <w:spacing w:line="440" w:lineRule="exact"/>
        <w:ind w:firstLine="481"/>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w:t>
      </w:r>
      <w:r>
        <w:rPr>
          <w:rFonts w:ascii="宋体" w:hAnsi="宋体"/>
          <w:sz w:val="24"/>
          <w:szCs w:val="24"/>
        </w:rPr>
        <w:t>软件具有全功能谱图处理、数据转换、多组分定量等操作软件；曲线分峰拟合软件；H20/CO2自动补偿软件；自检软件；宏程序软件，吸光度透过率转换；ATR及高级ATR校正；KK转换；标峰、差谱（谱图四则运算）、平滑及高级平滑，基线校正，谱图显示及隐藏功能，线性化功能；Y轴归一化功能，QC比较功能，独立的基础解析功能，二维相关红外功能；支持自定义格式，CSV</w:t>
      </w:r>
      <w:r>
        <w:rPr>
          <w:rFonts w:hint="eastAsia" w:ascii="宋体" w:hAnsi="宋体"/>
          <w:sz w:val="24"/>
          <w:szCs w:val="24"/>
        </w:rPr>
        <w:t>，</w:t>
      </w:r>
      <w:r>
        <w:rPr>
          <w:rFonts w:ascii="宋体" w:hAnsi="宋体"/>
          <w:sz w:val="24"/>
          <w:szCs w:val="24"/>
        </w:rPr>
        <w:t>SPA</w:t>
      </w:r>
      <w:r>
        <w:rPr>
          <w:rFonts w:hint="eastAsia" w:ascii="宋体" w:hAnsi="宋体"/>
          <w:sz w:val="24"/>
          <w:szCs w:val="24"/>
        </w:rPr>
        <w:t>，</w:t>
      </w:r>
      <w:r>
        <w:rPr>
          <w:rFonts w:ascii="宋体" w:hAnsi="宋体"/>
          <w:sz w:val="24"/>
          <w:szCs w:val="24"/>
        </w:rPr>
        <w:t>DPT</w:t>
      </w:r>
      <w:r>
        <w:rPr>
          <w:rFonts w:hint="eastAsia" w:ascii="宋体" w:hAnsi="宋体"/>
          <w:sz w:val="24"/>
          <w:szCs w:val="24"/>
        </w:rPr>
        <w:t>，</w:t>
      </w:r>
      <w:r>
        <w:rPr>
          <w:rFonts w:ascii="宋体" w:hAnsi="宋体"/>
          <w:sz w:val="24"/>
          <w:szCs w:val="24"/>
        </w:rPr>
        <w:t>TXT等等十几种格式；支持波数cm-1和波长um任意切换。</w:t>
      </w:r>
    </w:p>
    <w:p>
      <w:pPr>
        <w:spacing w:line="440" w:lineRule="exact"/>
        <w:ind w:firstLine="481"/>
        <w:rPr>
          <w:rFonts w:ascii="宋体" w:hAnsi="宋体"/>
          <w:b/>
          <w:bCs/>
          <w:sz w:val="24"/>
          <w:szCs w:val="24"/>
        </w:rPr>
      </w:pPr>
      <w:r>
        <w:rPr>
          <w:rFonts w:hint="eastAsia" w:ascii="宋体" w:hAnsi="宋体"/>
          <w:b/>
          <w:bCs/>
          <w:sz w:val="24"/>
          <w:szCs w:val="24"/>
        </w:rPr>
        <w:t>2</w:t>
      </w:r>
      <w:r>
        <w:rPr>
          <w:rFonts w:ascii="宋体" w:hAnsi="宋体"/>
          <w:b/>
          <w:bCs/>
          <w:sz w:val="24"/>
          <w:szCs w:val="24"/>
        </w:rPr>
        <w:t>4</w:t>
      </w:r>
      <w:r>
        <w:rPr>
          <w:rFonts w:hint="eastAsia" w:ascii="宋体" w:hAnsi="宋体"/>
          <w:b/>
          <w:bCs/>
          <w:sz w:val="24"/>
          <w:szCs w:val="24"/>
        </w:rPr>
        <w:t>、</w:t>
      </w:r>
      <w:r>
        <w:rPr>
          <w:rFonts w:ascii="宋体" w:hAnsi="宋体"/>
          <w:b/>
          <w:bCs/>
          <w:sz w:val="24"/>
          <w:szCs w:val="24"/>
        </w:rPr>
        <w:t>软件同时具有GB∕T 21186-2007国家标准校准功能和JJF 1319-2011红外校准规范校准功能</w:t>
      </w:r>
      <w:r>
        <w:rPr>
          <w:rFonts w:hint="eastAsia" w:ascii="宋体" w:hAnsi="宋体"/>
          <w:b/>
          <w:bCs/>
          <w:sz w:val="24"/>
          <w:szCs w:val="24"/>
        </w:rPr>
        <w:t>，须在响应文件中提供仪器检验校准证书</w:t>
      </w:r>
      <w:r>
        <w:rPr>
          <w:rFonts w:hint="eastAsia" w:ascii="宋体" w:hAnsi="宋体"/>
          <w:sz w:val="24"/>
          <w:szCs w:val="24"/>
        </w:rPr>
        <w:t>；</w:t>
      </w:r>
      <w:r>
        <w:rPr>
          <w:rFonts w:hint="eastAsia" w:ascii="宋体" w:hAnsi="宋体"/>
          <w:b/>
          <w:bCs/>
          <w:sz w:val="24"/>
          <w:szCs w:val="24"/>
        </w:rPr>
        <w:t>连接器符合GB/T 17465.1-2009；GB/T 17465.2-2009；GB 4943.1-2011标准并在响应文件中提供佐证材料</w:t>
      </w:r>
      <w:r>
        <w:rPr>
          <w:rFonts w:ascii="宋体" w:hAnsi="宋体"/>
          <w:b/>
          <w:bCs/>
          <w:sz w:val="24"/>
          <w:szCs w:val="24"/>
        </w:rPr>
        <w:t>。</w:t>
      </w:r>
    </w:p>
    <w:p>
      <w:pPr>
        <w:spacing w:line="440" w:lineRule="exact"/>
        <w:ind w:firstLine="481"/>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w:t>
      </w:r>
      <w:r>
        <w:rPr>
          <w:rFonts w:ascii="宋体" w:hAnsi="宋体"/>
          <w:sz w:val="24"/>
          <w:szCs w:val="24"/>
        </w:rPr>
        <w:t>软件必须具有蛋白质二级结构，分峰拟合，向量夹角等专用测试模块</w:t>
      </w:r>
      <w:r>
        <w:rPr>
          <w:rFonts w:ascii="宋体" w:hAnsi="宋体"/>
          <w:b/>
          <w:bCs/>
          <w:sz w:val="24"/>
          <w:szCs w:val="24"/>
        </w:rPr>
        <w:t>（</w:t>
      </w:r>
      <w:r>
        <w:rPr>
          <w:rFonts w:hint="eastAsia" w:ascii="宋体" w:hAnsi="宋体"/>
          <w:b/>
          <w:bCs/>
          <w:sz w:val="24"/>
          <w:szCs w:val="24"/>
        </w:rPr>
        <w:t>须在响应文件中</w:t>
      </w:r>
      <w:r>
        <w:rPr>
          <w:rFonts w:ascii="宋体" w:hAnsi="宋体"/>
          <w:b/>
          <w:bCs/>
          <w:sz w:val="24"/>
          <w:szCs w:val="24"/>
        </w:rPr>
        <w:t>提供软件截图）</w:t>
      </w:r>
      <w:r>
        <w:rPr>
          <w:rFonts w:hint="eastAsia" w:ascii="宋体" w:hAnsi="宋体"/>
          <w:sz w:val="24"/>
          <w:szCs w:val="24"/>
        </w:rPr>
        <w:t>。</w:t>
      </w:r>
    </w:p>
    <w:p>
      <w:pPr>
        <w:spacing w:line="440" w:lineRule="exact"/>
        <w:ind w:firstLine="481"/>
        <w:rPr>
          <w:rFonts w:ascii="宋体" w:hAnsi="宋体"/>
          <w:sz w:val="24"/>
          <w:szCs w:val="24"/>
        </w:rPr>
      </w:pPr>
      <w:r>
        <w:rPr>
          <w:rFonts w:ascii="宋体" w:hAnsi="宋体"/>
          <w:sz w:val="24"/>
          <w:szCs w:val="24"/>
        </w:rPr>
        <w:t>二</w:t>
      </w:r>
      <w:r>
        <w:rPr>
          <w:rFonts w:hint="eastAsia" w:ascii="宋体" w:hAnsi="宋体"/>
          <w:sz w:val="24"/>
          <w:szCs w:val="24"/>
        </w:rPr>
        <w:t>）</w:t>
      </w:r>
      <w:r>
        <w:rPr>
          <w:rFonts w:ascii="宋体" w:hAnsi="宋体"/>
          <w:sz w:val="24"/>
          <w:szCs w:val="24"/>
        </w:rPr>
        <w:t>配置</w:t>
      </w:r>
    </w:p>
    <w:p>
      <w:pPr>
        <w:spacing w:line="440" w:lineRule="exact"/>
        <w:ind w:firstLine="481"/>
        <w:rPr>
          <w:rFonts w:ascii="宋体" w:hAnsi="宋体"/>
          <w:b/>
          <w:bCs/>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配置：压片机</w:t>
      </w:r>
      <w:r>
        <w:rPr>
          <w:rFonts w:hint="eastAsia" w:ascii="宋体" w:hAnsi="宋体"/>
          <w:sz w:val="24"/>
          <w:szCs w:val="24"/>
        </w:rPr>
        <w:t>；</w:t>
      </w:r>
      <w:r>
        <w:rPr>
          <w:rFonts w:ascii="宋体" w:hAnsi="宋体"/>
          <w:sz w:val="24"/>
          <w:szCs w:val="24"/>
        </w:rPr>
        <w:t>压片模具</w:t>
      </w:r>
      <w:r>
        <w:rPr>
          <w:rFonts w:hint="eastAsia" w:ascii="宋体" w:hAnsi="宋体"/>
          <w:sz w:val="24"/>
          <w:szCs w:val="24"/>
        </w:rPr>
        <w:t>；</w:t>
      </w:r>
      <w:r>
        <w:rPr>
          <w:rFonts w:ascii="宋体" w:hAnsi="宋体"/>
          <w:sz w:val="24"/>
          <w:szCs w:val="24"/>
        </w:rPr>
        <w:t>玛瑙研钵</w:t>
      </w:r>
      <w:r>
        <w:rPr>
          <w:rFonts w:hint="eastAsia" w:ascii="宋体" w:hAnsi="宋体"/>
          <w:sz w:val="24"/>
          <w:szCs w:val="24"/>
        </w:rPr>
        <w:t>；</w:t>
      </w:r>
      <w:r>
        <w:rPr>
          <w:rFonts w:ascii="宋体" w:hAnsi="宋体"/>
          <w:sz w:val="24"/>
          <w:szCs w:val="24"/>
        </w:rPr>
        <w:t>KBr光谱纯</w:t>
      </w:r>
      <w:r>
        <w:rPr>
          <w:rFonts w:hint="eastAsia" w:ascii="宋体" w:hAnsi="宋体"/>
          <w:sz w:val="24"/>
          <w:szCs w:val="24"/>
        </w:rPr>
        <w:t>；</w:t>
      </w:r>
      <w:r>
        <w:rPr>
          <w:rFonts w:ascii="宋体" w:hAnsi="宋体"/>
          <w:sz w:val="24"/>
          <w:szCs w:val="24"/>
        </w:rPr>
        <w:t>可拆液体池</w:t>
      </w:r>
      <w:r>
        <w:rPr>
          <w:rFonts w:hint="eastAsia" w:ascii="宋体" w:hAnsi="宋体"/>
          <w:sz w:val="24"/>
          <w:szCs w:val="24"/>
        </w:rPr>
        <w:t>；</w:t>
      </w:r>
      <w:r>
        <w:rPr>
          <w:rFonts w:ascii="宋体" w:hAnsi="宋体"/>
          <w:sz w:val="24"/>
          <w:szCs w:val="24"/>
        </w:rPr>
        <w:t>傅里叶红外光谱仪</w:t>
      </w:r>
      <w:r>
        <w:rPr>
          <w:rFonts w:hint="eastAsia" w:ascii="宋体" w:hAnsi="宋体"/>
          <w:sz w:val="24"/>
          <w:szCs w:val="24"/>
        </w:rPr>
        <w:t>主机；配套操作软件；红外光谱图数据分析系统。</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b/>
          <w:bCs/>
          <w:sz w:val="24"/>
          <w:szCs w:val="24"/>
        </w:rPr>
      </w:pPr>
      <w:r>
        <w:rPr>
          <w:rFonts w:hint="eastAsia" w:ascii="宋体" w:hAnsi="宋体"/>
          <w:b/>
          <w:bCs/>
          <w:sz w:val="24"/>
          <w:szCs w:val="24"/>
        </w:rPr>
        <w:t>（三）商务条件</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1、交付地点：福建农林大学指定地点。</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2、交付时间：合同签订之日起 </w:t>
      </w:r>
      <w:r>
        <w:rPr>
          <w:rFonts w:hint="eastAsia" w:ascii="宋体" w:hAnsi="宋体"/>
          <w:sz w:val="24"/>
          <w:szCs w:val="24"/>
          <w:u w:val="single"/>
        </w:rPr>
        <w:t>20</w:t>
      </w:r>
      <w:r>
        <w:rPr>
          <w:rFonts w:hint="eastAsia" w:ascii="宋体" w:hAnsi="宋体"/>
          <w:sz w:val="24"/>
          <w:szCs w:val="24"/>
        </w:rPr>
        <w:t xml:space="preserve"> 个日历日内供货并安装调试完毕，采购人在规定期限内组织验收。若因采购人原因或不可抗力等因素导致的延迟交付，交付期可顺延。</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rPr>
      </w:pPr>
      <w:r>
        <w:rPr>
          <w:rFonts w:hint="eastAsia" w:ascii="宋体" w:hAnsi="宋体"/>
          <w:sz w:val="24"/>
          <w:szCs w:val="24"/>
        </w:rPr>
        <w:t>3、交付条件：</w:t>
      </w:r>
      <w:r>
        <w:rPr>
          <w:rFonts w:hint="eastAsia" w:ascii="宋体" w:hAnsi="宋体"/>
          <w:sz w:val="24"/>
        </w:rPr>
        <w:t>验收合格交付采购人使用。</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4、履约保证金：履约保证金百分比：</w:t>
      </w:r>
      <w:r>
        <w:rPr>
          <w:rFonts w:hint="eastAsia" w:ascii="宋体" w:hAnsi="宋体"/>
          <w:sz w:val="24"/>
          <w:szCs w:val="24"/>
          <w:u w:val="single"/>
        </w:rPr>
        <w:t xml:space="preserve"> 3 </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3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5、付款方式：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提供一年质保。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7、货物包装方式、安装</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7.1包装：货物交货时应按国家有关标准要求进行包装。</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7.2包装必须与运输方式相适应，包装方式的确定及包装费用均由成交供应商负责；由于不适当的包装而造成货物在运输过程中有任何损坏由成交供应商负责。</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7.3供应商须在采购人指定的地点进行货物的安装，安装所需的相应配套设施由成交供应商自行负责解决。如成交供应商不按合同约定提交货物所产生的任何费用由成交供应商负责，采购人对由此所引起的变动不予确认。</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8、售后服务要求</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sz w:val="24"/>
          <w:szCs w:val="24"/>
        </w:rPr>
      </w:pPr>
      <w:r>
        <w:rPr>
          <w:rFonts w:hint="eastAsia" w:ascii="宋体" w:hAnsi="宋体"/>
          <w:sz w:val="24"/>
          <w:szCs w:val="24"/>
        </w:rPr>
        <w:t>8.1成交供应商须按竞价文件的要求提供合格的产品，质保期从验收之日起算起壹年。在质保内出现属本次新采购货物质量问题，成交供应商免费为采购人更换，并确保</w:t>
      </w:r>
      <w:r>
        <w:rPr>
          <w:rFonts w:hint="eastAsia" w:ascii="宋体" w:hAnsi="宋体"/>
          <w:sz w:val="24"/>
          <w:szCs w:val="24"/>
          <w:highlight w:val="none"/>
        </w:rPr>
        <w:t>质量。质保期内非因操作不当造成需要更换的零配件及货物由成交供应商负责包修、包</w:t>
      </w:r>
      <w:r>
        <w:rPr>
          <w:rFonts w:hint="eastAsia" w:ascii="宋体" w:hAnsi="宋体"/>
          <w:sz w:val="24"/>
          <w:szCs w:val="24"/>
        </w:rPr>
        <w:t>换。</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sz w:val="24"/>
          <w:szCs w:val="24"/>
        </w:rPr>
      </w:pPr>
      <w:r>
        <w:rPr>
          <w:rFonts w:hint="eastAsia" w:ascii="宋体" w:hAnsi="宋体"/>
          <w:sz w:val="24"/>
          <w:szCs w:val="24"/>
        </w:rPr>
        <w:t>8.2采购人使用过程中若出现任何故障，在得到采购人反馈后能够及时处理（2小时内与采购人取得联系并沟通具体情况；一般性质问题24小时内处理完成；严重或有一定技术难度问题2周内处理完成；存在较大技术难度问题经协商处理），合同期内享受系统升级换代服务，各项功能模块需免费升级优化。</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sz w:val="24"/>
          <w:szCs w:val="24"/>
        </w:rPr>
      </w:pPr>
      <w:r>
        <w:rPr>
          <w:rFonts w:hint="eastAsia" w:ascii="宋体" w:hAnsi="宋体"/>
          <w:sz w:val="24"/>
          <w:szCs w:val="24"/>
        </w:rPr>
        <w:t>8.3成交供应商应免费提供人员的培训，包括但不限于操作培训、保养培训和维修培训，免费培训操作人员至熟悉为止。</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sz w:val="24"/>
          <w:szCs w:val="24"/>
        </w:rPr>
      </w:pPr>
      <w:r>
        <w:rPr>
          <w:rFonts w:hint="eastAsia" w:ascii="宋体" w:hAnsi="宋体"/>
          <w:sz w:val="24"/>
          <w:szCs w:val="24"/>
        </w:rPr>
        <w:t>8.4所报产品为原厂正品，在保证货物正常安装、使用和维护的情况下，质量保修期从本项目最终验收合格之日起计算。货物软件终身免费升级。</w:t>
      </w:r>
    </w:p>
    <w:p>
      <w:pPr>
        <w:keepNext w:val="0"/>
        <w:keepLines w:val="0"/>
        <w:pageBreakBefore w:val="0"/>
        <w:kinsoku/>
        <w:wordWrap/>
        <w:overflowPunct/>
        <w:topLinePunct w:val="0"/>
        <w:autoSpaceDE/>
        <w:autoSpaceDN/>
        <w:bidi w:val="0"/>
        <w:adjustRightInd/>
        <w:snapToGrid/>
        <w:spacing w:line="480" w:lineRule="exact"/>
        <w:ind w:firstLine="481"/>
        <w:rPr>
          <w:rFonts w:hint="eastAsia" w:ascii="宋体" w:hAnsi="宋体"/>
          <w:sz w:val="24"/>
          <w:szCs w:val="24"/>
        </w:rPr>
      </w:pPr>
      <w:r>
        <w:rPr>
          <w:rFonts w:hint="eastAsia" w:ascii="宋体" w:hAnsi="宋体"/>
          <w:sz w:val="24"/>
          <w:szCs w:val="24"/>
        </w:rPr>
        <w:t>9、验收</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10、违约责任</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11、知识产权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keepNext w:val="0"/>
        <w:keepLines w:val="0"/>
        <w:pageBreakBefore w:val="0"/>
        <w:kinsoku/>
        <w:wordWrap/>
        <w:overflowPunct/>
        <w:topLinePunct w:val="0"/>
        <w:autoSpaceDE/>
        <w:autoSpaceDN/>
        <w:bidi w:val="0"/>
        <w:adjustRightInd/>
        <w:snapToGrid/>
        <w:spacing w:line="480" w:lineRule="exact"/>
        <w:ind w:firstLine="481"/>
        <w:rPr>
          <w:rFonts w:ascii="宋体" w:hAnsi="宋体"/>
          <w:sz w:val="24"/>
          <w:szCs w:val="24"/>
        </w:rPr>
      </w:pPr>
      <w:r>
        <w:rPr>
          <w:rFonts w:hint="eastAsia" w:ascii="宋体" w:hAnsi="宋体"/>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12、其它要求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12.1竞价人选定的技术性能必须符合或优于竞价文件的技术性能要求。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12.2竞价人应以包括本项目所涉及的有关项目的所有费用进行报价，包括：报价应包含货物生产、包装、运输、培训、人工、税金、验收等。</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12.4本竞价文件未明确的其它约定事项或条款，待采购人与成交供应商签订合同时，由双方协商订立。</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center"/>
        <w:rPr>
          <w:rFonts w:ascii="宋体" w:hAnsi="宋体"/>
          <w:sz w:val="24"/>
          <w:szCs w:val="24"/>
        </w:rPr>
      </w:pPr>
      <w:r>
        <w:rPr>
          <w:rFonts w:hint="eastAsia" w:ascii="宋体" w:hAnsi="宋体"/>
          <w:sz w:val="24"/>
          <w:szCs w:val="24"/>
        </w:rPr>
        <w:t>（四）采购代理服务费</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1、本项目采购代理服务费按成交金额的1.5%计算向成交供应商收取。</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pPr>
        <w:keepNext w:val="0"/>
        <w:keepLines w:val="0"/>
        <w:pageBreakBefore w:val="0"/>
        <w:kinsoku/>
        <w:wordWrap/>
        <w:overflowPunct/>
        <w:topLinePunct w:val="0"/>
        <w:autoSpaceDE/>
        <w:autoSpaceDN/>
        <w:bidi w:val="0"/>
        <w:adjustRightInd/>
        <w:snapToGrid/>
        <w:spacing w:line="480" w:lineRule="exact"/>
        <w:ind w:left="660" w:leftChars="200" w:hanging="240" w:hangingChars="100"/>
        <w:rPr>
          <w:rFonts w:ascii="宋体" w:hAnsi="宋体"/>
          <w:sz w:val="24"/>
          <w:szCs w:val="24"/>
        </w:rPr>
      </w:pPr>
      <w:r>
        <w:rPr>
          <w:rFonts w:ascii="宋体" w:hAnsi="宋体"/>
          <w:sz w:val="24"/>
          <w:szCs w:val="24"/>
        </w:rPr>
        <w:t>账号：087739120100304037933。</w:t>
      </w:r>
    </w:p>
    <w:p>
      <w:pPr>
        <w:keepNext w:val="0"/>
        <w:keepLines w:val="0"/>
        <w:pageBreakBefore w:val="0"/>
        <w:kinsoku/>
        <w:wordWrap/>
        <w:overflowPunct/>
        <w:topLinePunct w:val="0"/>
        <w:autoSpaceDE/>
        <w:autoSpaceDN/>
        <w:bidi w:val="0"/>
        <w:adjustRightInd/>
        <w:snapToGrid/>
        <w:spacing w:line="480" w:lineRule="exact"/>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420" w:lineRule="exact"/>
        <w:jc w:val="left"/>
        <w:rPr>
          <w:rFonts w:ascii="宋体" w:hAnsi="宋体" w:cs="宋体"/>
          <w:b/>
          <w:sz w:val="24"/>
          <w:szCs w:val="24"/>
        </w:rPr>
      </w:pPr>
      <w:r>
        <w:rPr>
          <w:rFonts w:hint="eastAsia" w:ascii="宋体" w:hAnsi="宋体" w:cs="宋体"/>
          <w:b/>
          <w:kern w:val="0"/>
          <w:sz w:val="24"/>
          <w:szCs w:val="24"/>
        </w:rPr>
        <w:t>一、合格的竞价人</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1、网上竞价文件第二章“（一）资格标准”至“（三）商务条件”所有要求。</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2、报价文件格式中要求的其它条款</w:t>
      </w:r>
      <w:r>
        <w:rPr>
          <w:rStyle w:val="50"/>
          <w:rFonts w:hint="eastAsia" w:ascii="宋体" w:hAnsi="宋体" w:cs="宋体"/>
          <w:b/>
          <w:bCs/>
          <w:kern w:val="0"/>
          <w:sz w:val="24"/>
        </w:rPr>
        <w:t>（“竞价一览表”要求上传首次报价）。</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1、竞价人应在网上竞价平台（网址：</w:t>
      </w:r>
      <w:r>
        <w:rPr>
          <w:rFonts w:hint="eastAsia" w:ascii="宋体" w:hAnsi="宋体"/>
          <w:sz w:val="24"/>
          <w:szCs w:val="24"/>
        </w:rPr>
        <w:t>http://www.fjzxzb.com</w:t>
      </w:r>
      <w:r>
        <w:rPr>
          <w:rStyle w:val="50"/>
          <w:rFonts w:hint="eastAsia" w:ascii="宋体" w:hAnsi="宋体" w:cs="宋体"/>
          <w:kern w:val="0"/>
          <w:sz w:val="24"/>
        </w:rPr>
        <w:t>）上进行注册、报名（上传报价文件）、网上竞价等相关操作，具体操作指南详见网上竞价平台（网址：http://new.fjzxzb.com/newlist.aspx?id=2）</w:t>
      </w:r>
      <w:r>
        <w:rPr>
          <w:rStyle w:val="50"/>
          <w:rFonts w:hint="eastAsia" w:ascii="宋体" w:hAnsi="宋体" w:cs="宋体"/>
          <w:b/>
          <w:bCs/>
          <w:kern w:val="0"/>
          <w:sz w:val="24"/>
        </w:rPr>
        <w:t>。</w:t>
      </w:r>
      <w:r>
        <w:rPr>
          <w:rStyle w:val="50"/>
          <w:rFonts w:hint="eastAsia" w:ascii="宋体" w:hAnsi="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pacing w:line="420" w:lineRule="exact"/>
        <w:ind w:firstLine="480" w:firstLineChars="200"/>
        <w:jc w:val="left"/>
        <w:rPr>
          <w:rStyle w:val="50"/>
          <w:rFonts w:ascii="宋体" w:hAnsi="宋体" w:cs="宋体"/>
          <w:kern w:val="0"/>
          <w:sz w:val="24"/>
        </w:rPr>
      </w:pPr>
      <w:r>
        <w:rPr>
          <w:rStyle w:val="50"/>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pPr>
        <w:widowControl/>
        <w:spacing w:line="420" w:lineRule="exact"/>
        <w:ind w:firstLine="480" w:firstLineChars="200"/>
        <w:jc w:val="left"/>
        <w:rPr>
          <w:rFonts w:ascii="宋体" w:hAnsi="宋体" w:cs="宋体"/>
          <w:b/>
          <w:kern w:val="0"/>
          <w:sz w:val="24"/>
          <w:szCs w:val="24"/>
        </w:rPr>
      </w:pPr>
      <w:r>
        <w:rPr>
          <w:rStyle w:val="50"/>
          <w:rFonts w:hint="eastAsia" w:ascii="宋体" w:hAnsi="宋体" w:cs="宋体"/>
          <w:kern w:val="0"/>
          <w:sz w:val="24"/>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420" w:lineRule="exac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用Jpg或pdf或文件夹压缩包RAR等格式），包括但不限于以下内容：统一社会信用代码营业执照、法定代表人授权书(法定代表人及授权人身份证复印件)、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420" w:lineRule="exact"/>
        <w:jc w:val="left"/>
        <w:rPr>
          <w:rFonts w:ascii="宋体" w:hAnsi="宋体" w:cs="宋体"/>
          <w:bCs/>
          <w:sz w:val="24"/>
          <w:szCs w:val="24"/>
        </w:rPr>
      </w:pPr>
      <w:r>
        <w:rPr>
          <w:rFonts w:hint="eastAsia" w:ascii="宋体" w:hAnsi="宋体" w:cs="宋体"/>
          <w:bCs/>
          <w:kern w:val="0"/>
          <w:sz w:val="24"/>
          <w:szCs w:val="24"/>
        </w:rPr>
        <w:t>3、竞价人自行承担所有参与报价的全部相关费用，</w:t>
      </w:r>
      <w:r>
        <w:rPr>
          <w:rFonts w:hint="eastAsia" w:ascii="宋体" w:hAnsi="宋体" w:cs="宋体"/>
          <w:b/>
          <w:kern w:val="0"/>
          <w:sz w:val="24"/>
          <w:szCs w:val="24"/>
        </w:rPr>
        <w:t>本项目符合采购需求的合格竞价人不足两家的，网上竞价无效。</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420" w:lineRule="exact"/>
        <w:jc w:val="left"/>
      </w:pPr>
      <w:r>
        <w:rPr>
          <w:rFonts w:hint="eastAsia" w:ascii="宋体" w:hAnsi="宋体" w:cs="宋体"/>
          <w:bCs/>
          <w:kern w:val="0"/>
          <w:sz w:val="24"/>
          <w:szCs w:val="24"/>
        </w:rPr>
        <w:t>1、采购代理机构将采购人提出的竞价采购需求在中国政府采购网、福建省智信招标有限公司(http://www.fjzxzb.com)进行发布。网上竞价的报价时限为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kern w:val="0"/>
          <w:sz w:val="24"/>
          <w:szCs w:val="24"/>
        </w:rPr>
        <w:t>；在符合采购需求且报价有效的前提下，报价最低者成交（报价相同的，以报价时间优先者成交）。</w:t>
      </w:r>
    </w:p>
    <w:p>
      <w:pPr>
        <w:widowControl/>
        <w:spacing w:line="420" w:lineRule="exac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420" w:lineRule="exac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420" w:lineRule="exac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420" w:lineRule="exac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420" w:lineRule="exac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420" w:lineRule="exact"/>
        <w:jc w:val="left"/>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420" w:lineRule="exac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定代表人授权书(法定代表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w:t>
      </w:r>
      <w:r>
        <w:rPr>
          <w:rFonts w:hint="eastAsia" w:ascii="宋体" w:hAnsi="宋体" w:cs="宋体"/>
          <w:b/>
          <w:kern w:val="0"/>
          <w:sz w:val="24"/>
          <w:szCs w:val="24"/>
        </w:rPr>
        <w:t>竞价一览表（最终报价）</w:t>
      </w:r>
      <w:r>
        <w:rPr>
          <w:rFonts w:hint="eastAsia" w:ascii="宋体" w:hAnsi="宋体" w:cs="宋体"/>
          <w:bCs/>
          <w:kern w:val="0"/>
          <w:sz w:val="24"/>
          <w:szCs w:val="24"/>
        </w:rPr>
        <w:t>、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420" w:lineRule="exac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20" w:lineRule="exact"/>
        <w:jc w:val="left"/>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
          <w:kern w:val="0"/>
          <w:sz w:val="24"/>
          <w:szCs w:val="24"/>
        </w:rPr>
        <w:t>人民币1000元整</w:t>
      </w:r>
      <w:r>
        <w:rPr>
          <w:rFonts w:hint="eastAsia" w:ascii="宋体" w:hAnsi="宋体" w:cs="宋体"/>
          <w:bCs/>
          <w:kern w:val="0"/>
          <w:sz w:val="24"/>
          <w:szCs w:val="24"/>
        </w:rPr>
        <w:t>，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2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420" w:lineRule="exact"/>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数量</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产地</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2"/>
          <w:rFonts w:ascii="宋体" w:hAnsi="宋体"/>
          <w:sz w:val="24"/>
          <w:szCs w:val="24"/>
        </w:rPr>
      </w:pPr>
    </w:p>
    <w:p>
      <w:pPr>
        <w:spacing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highlight w:val="yellow"/>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spacing w:line="400" w:lineRule="exact"/>
        <w:rPr>
          <w:rFonts w:ascii="宋体" w:hAnsi="宋体"/>
          <w:b/>
          <w:sz w:val="24"/>
          <w:szCs w:val="24"/>
          <w:u w:val="single"/>
        </w:rPr>
      </w:pPr>
    </w:p>
    <w:p>
      <w:pPr>
        <w:spacing w:line="40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8"/>
        <w:spacing w:after="0" w:line="400" w:lineRule="exact"/>
        <w:ind w:firstLine="482"/>
        <w:rPr>
          <w:rFonts w:ascii="宋体" w:hAnsi="宋体"/>
        </w:rPr>
      </w:pPr>
      <w:r>
        <w:rPr>
          <w:rFonts w:hint="eastAsia" w:ascii="宋体" w:hAnsi="宋体"/>
          <w:b/>
          <w:sz w:val="24"/>
          <w:u w:val="single"/>
        </w:rPr>
        <w:t>（2）竞价人应以包括本项目所涉及的有关项目的所有费用进行报价，包括：报价应包含货物生产、包装、运输、培训、人工、税金、验收等。</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11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46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2B44"/>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55F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4612D"/>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4093"/>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00FB"/>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4DC4"/>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06C"/>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6FDE"/>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1B8"/>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E7598"/>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30F6"/>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692"/>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665B0E"/>
    <w:rsid w:val="02B244B8"/>
    <w:rsid w:val="05736D2C"/>
    <w:rsid w:val="07604B49"/>
    <w:rsid w:val="08681091"/>
    <w:rsid w:val="0A205C75"/>
    <w:rsid w:val="0BF159B5"/>
    <w:rsid w:val="0F912498"/>
    <w:rsid w:val="0F9F7B25"/>
    <w:rsid w:val="12117034"/>
    <w:rsid w:val="121423F1"/>
    <w:rsid w:val="1A5F7F71"/>
    <w:rsid w:val="211E0689"/>
    <w:rsid w:val="30334F51"/>
    <w:rsid w:val="33D56AE0"/>
    <w:rsid w:val="3CB118B7"/>
    <w:rsid w:val="40353E3D"/>
    <w:rsid w:val="454E093A"/>
    <w:rsid w:val="45903F34"/>
    <w:rsid w:val="47B95627"/>
    <w:rsid w:val="4B4F11B0"/>
    <w:rsid w:val="54EB5DD4"/>
    <w:rsid w:val="61134904"/>
    <w:rsid w:val="61914F2C"/>
    <w:rsid w:val="637754DE"/>
    <w:rsid w:val="6B0F5498"/>
    <w:rsid w:val="6B6F629A"/>
    <w:rsid w:val="70246216"/>
    <w:rsid w:val="78CE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7"/>
    <w:qFormat/>
    <w:uiPriority w:val="0"/>
    <w:pPr>
      <w:spacing w:after="120" w:line="480" w:lineRule="auto"/>
    </w:pPr>
  </w:style>
  <w:style w:type="paragraph" w:styleId="5">
    <w:name w:val="Document Map"/>
    <w:basedOn w:val="1"/>
    <w:link w:val="28"/>
    <w:semiHidden/>
    <w:qFormat/>
    <w:uiPriority w:val="0"/>
    <w:pPr>
      <w:shd w:val="clear" w:color="auto" w:fill="000080"/>
    </w:pPr>
  </w:style>
  <w:style w:type="paragraph" w:styleId="6">
    <w:name w:val="annotation text"/>
    <w:basedOn w:val="1"/>
    <w:link w:val="29"/>
    <w:qFormat/>
    <w:uiPriority w:val="0"/>
    <w:pPr>
      <w:jc w:val="left"/>
    </w:pPr>
  </w:style>
  <w:style w:type="paragraph" w:styleId="7">
    <w:name w:val="Closing"/>
    <w:basedOn w:val="1"/>
    <w:link w:val="30"/>
    <w:unhideWhenUsed/>
    <w:qFormat/>
    <w:uiPriority w:val="0"/>
    <w:pPr>
      <w:ind w:left="100" w:leftChars="2100"/>
    </w:pPr>
    <w:rPr>
      <w:szCs w:val="24"/>
    </w:rPr>
  </w:style>
  <w:style w:type="paragraph" w:styleId="8">
    <w:name w:val="Body Text"/>
    <w:basedOn w:val="1"/>
    <w:next w:val="9"/>
    <w:link w:val="31"/>
    <w:qFormat/>
    <w:uiPriority w:val="0"/>
    <w:pPr>
      <w:spacing w:after="120"/>
    </w:pPr>
  </w:style>
  <w:style w:type="paragraph" w:styleId="9">
    <w:name w:val="Plain Text"/>
    <w:basedOn w:val="1"/>
    <w:link w:val="32"/>
    <w:qFormat/>
    <w:uiPriority w:val="0"/>
    <w:rPr>
      <w:rFonts w:ascii="宋体" w:hAnsi="Courier New"/>
    </w:rPr>
  </w:style>
  <w:style w:type="paragraph" w:styleId="10">
    <w:name w:val="Body Text Indent"/>
    <w:basedOn w:val="1"/>
    <w:next w:val="11"/>
    <w:link w:val="33"/>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4"/>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6"/>
    <w:next w:val="6"/>
    <w:link w:val="38"/>
    <w:qFormat/>
    <w:uiPriority w:val="0"/>
    <w:rPr>
      <w:b/>
      <w:bCs/>
    </w:rPr>
  </w:style>
  <w:style w:type="paragraph" w:styleId="18">
    <w:name w:val="Body Text First Indent 2"/>
    <w:basedOn w:val="10"/>
    <w:next w:val="1"/>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字符"/>
    <w:basedOn w:val="21"/>
    <w:link w:val="3"/>
    <w:qFormat/>
    <w:uiPriority w:val="0"/>
    <w:rPr>
      <w:rFonts w:ascii="Times New Roman" w:hAnsi="Times New Roman" w:eastAsia="黑体" w:cs="Times New Roman"/>
      <w:b/>
      <w:kern w:val="44"/>
      <w:sz w:val="36"/>
      <w:szCs w:val="20"/>
    </w:rPr>
  </w:style>
  <w:style w:type="character" w:customStyle="1" w:styleId="27">
    <w:name w:val="标题 3 字符"/>
    <w:basedOn w:val="21"/>
    <w:link w:val="4"/>
    <w:qFormat/>
    <w:uiPriority w:val="0"/>
    <w:rPr>
      <w:rFonts w:ascii="Times New Roman" w:hAnsi="Times New Roman" w:eastAsia="黑体" w:cs="Times New Roman"/>
      <w:b/>
      <w:kern w:val="44"/>
      <w:sz w:val="32"/>
      <w:szCs w:val="20"/>
    </w:rPr>
  </w:style>
  <w:style w:type="character" w:customStyle="1" w:styleId="28">
    <w:name w:val="文档结构图 字符"/>
    <w:basedOn w:val="21"/>
    <w:link w:val="5"/>
    <w:semiHidden/>
    <w:qFormat/>
    <w:uiPriority w:val="0"/>
    <w:rPr>
      <w:rFonts w:ascii="Times New Roman" w:hAnsi="Times New Roman" w:eastAsia="宋体" w:cs="Times New Roman"/>
      <w:szCs w:val="20"/>
      <w:shd w:val="clear" w:color="auto" w:fill="000080"/>
    </w:rPr>
  </w:style>
  <w:style w:type="character" w:customStyle="1" w:styleId="29">
    <w:name w:val="批注文字 字符"/>
    <w:basedOn w:val="21"/>
    <w:link w:val="6"/>
    <w:qFormat/>
    <w:uiPriority w:val="0"/>
    <w:rPr>
      <w:rFonts w:ascii="Times New Roman" w:hAnsi="Times New Roman" w:eastAsia="宋体" w:cs="Times New Roman"/>
      <w:szCs w:val="20"/>
    </w:rPr>
  </w:style>
  <w:style w:type="character" w:customStyle="1" w:styleId="30">
    <w:name w:val="结束语 字符"/>
    <w:basedOn w:val="21"/>
    <w:link w:val="7"/>
    <w:qFormat/>
    <w:uiPriority w:val="0"/>
    <w:rPr>
      <w:rFonts w:ascii="Times New Roman" w:hAnsi="Times New Roman" w:eastAsia="宋体" w:cs="Times New Roman"/>
      <w:szCs w:val="24"/>
    </w:rPr>
  </w:style>
  <w:style w:type="character" w:customStyle="1" w:styleId="31">
    <w:name w:val="正文文本 字符"/>
    <w:basedOn w:val="21"/>
    <w:link w:val="8"/>
    <w:qFormat/>
    <w:uiPriority w:val="0"/>
    <w:rPr>
      <w:rFonts w:ascii="Times New Roman" w:hAnsi="Times New Roman" w:eastAsia="宋体" w:cs="Times New Roman"/>
      <w:szCs w:val="20"/>
    </w:rPr>
  </w:style>
  <w:style w:type="character" w:customStyle="1" w:styleId="32">
    <w:name w:val="纯文本 字符"/>
    <w:basedOn w:val="21"/>
    <w:link w:val="9"/>
    <w:qFormat/>
    <w:uiPriority w:val="0"/>
    <w:rPr>
      <w:rFonts w:ascii="宋体" w:hAnsi="Courier New" w:eastAsia="宋体" w:cs="Times New Roman"/>
      <w:szCs w:val="20"/>
    </w:rPr>
  </w:style>
  <w:style w:type="character" w:customStyle="1" w:styleId="33">
    <w:name w:val="正文文本缩进 字符"/>
    <w:basedOn w:val="21"/>
    <w:link w:val="10"/>
    <w:qFormat/>
    <w:uiPriority w:val="99"/>
    <w:rPr>
      <w:rFonts w:ascii="楷体_GB2312" w:hAnsi="Times New Roman" w:eastAsia="楷体_GB2312" w:cs="Times New Roman"/>
      <w:sz w:val="32"/>
      <w:szCs w:val="20"/>
    </w:rPr>
  </w:style>
  <w:style w:type="character" w:customStyle="1" w:styleId="34">
    <w:name w:val="批注框文本 字符"/>
    <w:basedOn w:val="21"/>
    <w:link w:val="12"/>
    <w:qFormat/>
    <w:uiPriority w:val="0"/>
    <w:rPr>
      <w:rFonts w:ascii="Times New Roman" w:hAnsi="Times New Roman" w:eastAsia="宋体" w:cs="Times New Roman"/>
      <w:sz w:val="18"/>
      <w:szCs w:val="18"/>
    </w:rPr>
  </w:style>
  <w:style w:type="character" w:customStyle="1" w:styleId="35">
    <w:name w:val="页脚 字符"/>
    <w:basedOn w:val="21"/>
    <w:link w:val="13"/>
    <w:qFormat/>
    <w:uiPriority w:val="0"/>
    <w:rPr>
      <w:rFonts w:ascii="Times New Roman" w:hAnsi="Times New Roman" w:eastAsia="宋体" w:cs="Times New Roman"/>
      <w:sz w:val="18"/>
      <w:szCs w:val="18"/>
    </w:rPr>
  </w:style>
  <w:style w:type="character" w:customStyle="1" w:styleId="36">
    <w:name w:val="页眉 字符"/>
    <w:basedOn w:val="21"/>
    <w:link w:val="14"/>
    <w:qFormat/>
    <w:uiPriority w:val="0"/>
    <w:rPr>
      <w:rFonts w:ascii="Times New Roman" w:hAnsi="Times New Roman" w:eastAsia="宋体" w:cs="Times New Roman"/>
      <w:sz w:val="18"/>
      <w:szCs w:val="18"/>
    </w:rPr>
  </w:style>
  <w:style w:type="character" w:customStyle="1" w:styleId="37">
    <w:name w:val="正文文本 2 字符"/>
    <w:basedOn w:val="21"/>
    <w:link w:val="2"/>
    <w:qFormat/>
    <w:uiPriority w:val="0"/>
    <w:rPr>
      <w:rFonts w:ascii="Times New Roman" w:hAnsi="Times New Roman" w:eastAsia="宋体" w:cs="Times New Roman"/>
      <w:szCs w:val="20"/>
    </w:rPr>
  </w:style>
  <w:style w:type="character" w:customStyle="1" w:styleId="38">
    <w:name w:val="批注主题 字符"/>
    <w:basedOn w:val="29"/>
    <w:link w:val="17"/>
    <w:qFormat/>
    <w:uiPriority w:val="0"/>
    <w:rPr>
      <w:rFonts w:ascii="Times New Roman" w:hAnsi="Times New Roman" w:eastAsia="宋体" w:cs="Times New Roman"/>
      <w:b/>
      <w:bCs/>
      <w:szCs w:val="20"/>
    </w:rPr>
  </w:style>
  <w:style w:type="character" w:customStyle="1" w:styleId="39">
    <w:name w:val="正文首行缩进 2 字符"/>
    <w:basedOn w:val="33"/>
    <w:link w:val="18"/>
    <w:qFormat/>
    <w:uiPriority w:val="99"/>
    <w:rPr>
      <w:rFonts w:ascii="Times New Roman" w:hAnsi="Times New Roman" w:eastAsia="宋体" w:cs="Times New Roman"/>
      <w:sz w:val="32"/>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5"/>
    <w:qFormat/>
    <w:uiPriority w:val="0"/>
    <w:pPr>
      <w:adjustRightInd w:val="0"/>
      <w:snapToGrid w:val="0"/>
      <w:spacing w:line="360" w:lineRule="auto"/>
    </w:pPr>
  </w:style>
  <w:style w:type="paragraph" w:customStyle="1" w:styleId="42">
    <w:name w:val="样式3"/>
    <w:basedOn w:val="9"/>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5"/>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1"/>
    <w:basedOn w:val="1"/>
    <w:qFormat/>
    <w:uiPriority w:val="34"/>
    <w:pPr>
      <w:ind w:firstLine="420" w:firstLineChars="200"/>
    </w:pPr>
    <w:rPr>
      <w:rFonts w:ascii="Calibri" w:hAnsi="Calibri"/>
      <w:szCs w:val="22"/>
    </w:rPr>
  </w:style>
  <w:style w:type="paragraph" w:customStyle="1" w:styleId="47">
    <w:name w:val="列表段落1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character" w:customStyle="1" w:styleId="5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19994</Words>
  <Characters>21181</Characters>
  <Lines>177</Lines>
  <Paragraphs>49</Paragraphs>
  <TotalTime>20</TotalTime>
  <ScaleCrop>false</ScaleCrop>
  <LinksUpToDate>false</LinksUpToDate>
  <CharactersWithSpaces>23770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2023-11-17T01:27:00Z</dcterms:created>
  <dc:creator>Administrator</dc:creator>
  <cp:lastModifiedBy>Administrator</cp:lastModifiedBy>
  <cp:lastPrinted>2023-11-17T11:41:00Z</cp:lastPrinted>
  <dcterms:modified xsi:type="dcterms:W3CDTF">2023-11-17T11:56:41Z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D7E259CEB84F4C71A0FF0FF0523E9C05_13</vt:lpwstr>
  </property>
</Properties>
</file>