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/>
        </w:rPr>
      </w:pPr>
      <w:bookmarkStart w:id="1" w:name="_GoBack"/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附件</w:t>
      </w:r>
      <w:bookmarkEnd w:id="1"/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/>
        </w:rPr>
        <w:t>一</w:t>
      </w:r>
    </w:p>
    <w:p>
      <w:pPr>
        <w:spacing w:line="480" w:lineRule="exact"/>
        <w:rPr>
          <w:rFonts w:ascii="仿宋_GB2312" w:hAnsi="Tahoma" w:eastAsia="仿宋_GB2312" w:cs="Tahoma"/>
          <w:color w:val="000000"/>
          <w:kern w:val="0"/>
          <w:sz w:val="28"/>
          <w:szCs w:val="28"/>
        </w:rPr>
      </w:pPr>
    </w:p>
    <w:p>
      <w:pPr>
        <w:spacing w:line="480" w:lineRule="exact"/>
        <w:jc w:val="center"/>
        <w:rPr>
          <w:rFonts w:hint="eastAsia" w:ascii="仿宋_GB2312" w:hAnsi="宋体" w:eastAsia="仿宋_GB2312" w:cs="Tahoma"/>
          <w:b/>
          <w:bCs/>
          <w:color w:val="000000"/>
          <w:spacing w:val="-16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ahoma"/>
          <w:b/>
          <w:bCs/>
          <w:color w:val="000000"/>
          <w:spacing w:val="-16"/>
          <w:kern w:val="0"/>
          <w:sz w:val="32"/>
          <w:szCs w:val="32"/>
          <w:lang w:val="en-US" w:eastAsia="zh-CN"/>
        </w:rPr>
        <w:t>福州民天实业有限公司海峡肉品批发市场</w:t>
      </w:r>
    </w:p>
    <w:p>
      <w:pPr>
        <w:spacing w:line="480" w:lineRule="exact"/>
        <w:jc w:val="center"/>
        <w:rPr>
          <w:rFonts w:ascii="仿宋_GB2312" w:hAnsi="宋体" w:eastAsia="仿宋_GB2312" w:cs="Tahoma"/>
          <w:b/>
          <w:bCs/>
          <w:color w:val="000000"/>
          <w:spacing w:val="-16"/>
          <w:kern w:val="0"/>
          <w:sz w:val="32"/>
          <w:szCs w:val="32"/>
        </w:rPr>
      </w:pPr>
      <w:r>
        <w:rPr>
          <w:rFonts w:hint="eastAsia" w:ascii="仿宋_GB2312" w:hAnsi="宋体" w:eastAsia="仿宋_GB2312" w:cs="Tahoma"/>
          <w:b/>
          <w:bCs/>
          <w:color w:val="000000"/>
          <w:spacing w:val="-16"/>
          <w:kern w:val="0"/>
          <w:sz w:val="32"/>
          <w:szCs w:val="32"/>
          <w:lang w:val="en-US" w:eastAsia="zh-CN"/>
        </w:rPr>
        <w:t>家禽定点屠宰项目环保自行监测服务</w:t>
      </w:r>
      <w:r>
        <w:rPr>
          <w:rFonts w:hint="eastAsia" w:ascii="仿宋_GB2312" w:hAnsi="宋体" w:eastAsia="仿宋_GB2312" w:cs="Tahoma"/>
          <w:b/>
          <w:bCs/>
          <w:color w:val="000000"/>
          <w:spacing w:val="-16"/>
          <w:kern w:val="0"/>
          <w:sz w:val="32"/>
          <w:szCs w:val="32"/>
        </w:rPr>
        <w:t>项目报价单</w:t>
      </w:r>
    </w:p>
    <w:p>
      <w:pPr>
        <w:tabs>
          <w:tab w:val="left" w:pos="0"/>
        </w:tabs>
        <w:spacing w:line="480" w:lineRule="exact"/>
        <w:rPr>
          <w:rFonts w:ascii="仿宋_GB2312" w:hAnsi="Tahoma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福州民天实业有限公司：</w:t>
      </w:r>
    </w:p>
    <w:p>
      <w:pPr>
        <w:widowControl/>
        <w:spacing w:line="480" w:lineRule="exact"/>
        <w:ind w:firstLine="560" w:firstLineChars="200"/>
        <w:rPr>
          <w:rFonts w:ascii="仿宋_GB2312" w:hAnsi="Tahoma" w:eastAsia="仿宋_GB2312" w:cs="Tahoma"/>
          <w:b w:val="0"/>
          <w:szCs w:val="28"/>
        </w:rPr>
      </w:pP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我公司对贵公司所属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/>
        </w:rPr>
        <w:t>海峡肉品批发市场家禽定点屠宰项目环保自行监测服务项目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的含税包干总报价为</w:t>
      </w:r>
      <w:r>
        <w:rPr>
          <w:rFonts w:ascii="仿宋_GB2312" w:hAnsi="Tahoma" w:eastAsia="仿宋_GB2312" w:cs="Tahoma"/>
          <w:color w:val="000000"/>
          <w:kern w:val="0"/>
          <w:sz w:val="28"/>
          <w:szCs w:val="28"/>
        </w:rPr>
        <w:t>_____________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元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/>
        </w:rPr>
        <w:t>/年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（大写</w:t>
      </w:r>
      <w:r>
        <w:rPr>
          <w:rFonts w:ascii="仿宋_GB2312" w:hAnsi="Tahoma" w:eastAsia="仿宋_GB2312" w:cs="Tahoma"/>
          <w:color w:val="000000"/>
          <w:kern w:val="0"/>
          <w:sz w:val="28"/>
          <w:szCs w:val="28"/>
        </w:rPr>
        <w:t>____________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元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/>
        </w:rPr>
        <w:t>/年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），不含税包干总报价为</w:t>
      </w:r>
      <w:r>
        <w:rPr>
          <w:rFonts w:ascii="仿宋_GB2312" w:hAnsi="Tahoma" w:eastAsia="仿宋_GB2312" w:cs="Tahoma"/>
          <w:color w:val="000000"/>
          <w:kern w:val="0"/>
          <w:sz w:val="28"/>
          <w:szCs w:val="28"/>
        </w:rPr>
        <w:t>____________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元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/>
        </w:rPr>
        <w:t>/年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（大写</w:t>
      </w:r>
      <w:r>
        <w:rPr>
          <w:rFonts w:ascii="仿宋_GB2312" w:hAnsi="Tahoma" w:eastAsia="仿宋_GB2312" w:cs="Tahoma"/>
          <w:color w:val="000000"/>
          <w:kern w:val="0"/>
          <w:sz w:val="28"/>
          <w:szCs w:val="28"/>
        </w:rPr>
        <w:t>____________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元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/>
        </w:rPr>
        <w:t>/年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）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/>
        </w:rPr>
        <w:t>税金为</w:t>
      </w:r>
      <w:r>
        <w:rPr>
          <w:rFonts w:ascii="仿宋_GB2312" w:hAnsi="Tahoma" w:eastAsia="仿宋_GB2312" w:cs="Tahoma"/>
          <w:color w:val="000000"/>
          <w:kern w:val="0"/>
          <w:sz w:val="28"/>
          <w:szCs w:val="28"/>
        </w:rPr>
        <w:t>____________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元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/>
        </w:rPr>
        <w:t>/年。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560" w:firstLineChars="200"/>
        <w:textAlignment w:val="auto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注：</w:t>
      </w:r>
      <w:r>
        <w:rPr>
          <w:rFonts w:ascii="仿宋_GB2312" w:hAnsi="Tahoma" w:eastAsia="仿宋_GB2312" w:cs="Tahoma"/>
          <w:color w:val="000000"/>
          <w:sz w:val="28"/>
          <w:szCs w:val="28"/>
        </w:rPr>
        <w:t>1.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我公司提供的发票为增值税</w:t>
      </w:r>
      <w:r>
        <w:rPr>
          <w:rFonts w:hint="eastAsia" w:ascii="仿宋_GB2312" w:hAnsi="Tahoma" w:eastAsia="仿宋_GB2312" w:cs="Tahoma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发票（请填写普通还是专用）；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1120" w:firstLineChars="400"/>
        <w:textAlignment w:val="auto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2.税率为</w:t>
      </w:r>
      <w:r>
        <w:rPr>
          <w:rFonts w:hint="eastAsia" w:ascii="仿宋_GB2312" w:hAnsi="Tahoma" w:eastAsia="仿宋_GB2312" w:cs="Tahoma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%的增值税专用发票(提供增值税普通发票的无需填写）；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1120" w:firstLineChars="400"/>
        <w:textAlignment w:val="auto"/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 w:bidi="ar-SA"/>
        </w:rPr>
        <w:t>3.所有小写报价均精确到小数点后两位；</w:t>
      </w:r>
    </w:p>
    <w:p>
      <w:pPr>
        <w:widowControl/>
        <w:spacing w:line="480" w:lineRule="exact"/>
        <w:ind w:left="560" w:firstLine="560" w:firstLineChars="200"/>
        <w:jc w:val="left"/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 w:bidi="ar-SA"/>
        </w:rPr>
        <w:t>4.以上为包干总报价，包括服务费、差旅费、人工费、税费等所有费用；</w:t>
      </w:r>
    </w:p>
    <w:p>
      <w:pPr>
        <w:pStyle w:val="3"/>
        <w:spacing w:line="480" w:lineRule="exact"/>
        <w:ind w:firstLine="560" w:firstLineChars="200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 xml:space="preserve">    </w:t>
      </w:r>
      <w:r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.未按以上规定报价的视为无效报价。</w:t>
      </w:r>
    </w:p>
    <w:p>
      <w:pPr>
        <w:pStyle w:val="3"/>
        <w:spacing w:line="480" w:lineRule="exact"/>
        <w:ind w:firstLine="560" w:firstLineChars="200"/>
        <w:rPr>
          <w:rFonts w:ascii="仿宋_GB2312" w:hAnsi="Tahoma" w:eastAsia="仿宋_GB2312" w:cs="Tahoma"/>
          <w:color w:val="000000"/>
          <w:sz w:val="28"/>
          <w:szCs w:val="28"/>
        </w:rPr>
      </w:pPr>
    </w:p>
    <w:p>
      <w:pPr>
        <w:pStyle w:val="3"/>
        <w:spacing w:line="480" w:lineRule="exact"/>
        <w:ind w:firstLine="840" w:firstLineChars="300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联系人：</w:t>
      </w:r>
      <w:r>
        <w:rPr>
          <w:rFonts w:ascii="仿宋_GB2312" w:hAnsi="Tahoma" w:eastAsia="仿宋_GB2312" w:cs="Tahoma"/>
          <w:color w:val="000000"/>
          <w:sz w:val="28"/>
          <w:szCs w:val="28"/>
        </w:rPr>
        <w:t xml:space="preserve">                  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联系电话：</w:t>
      </w:r>
    </w:p>
    <w:p>
      <w:pPr>
        <w:pStyle w:val="3"/>
        <w:spacing w:line="480" w:lineRule="exact"/>
        <w:ind w:firstLine="840" w:firstLineChars="300"/>
        <w:rPr>
          <w:rFonts w:ascii="仿宋_GB2312" w:hAnsi="Tahoma" w:eastAsia="仿宋_GB2312" w:cs="Tahoma"/>
          <w:color w:val="000000"/>
          <w:sz w:val="28"/>
          <w:szCs w:val="28"/>
        </w:rPr>
      </w:pPr>
    </w:p>
    <w:p>
      <w:pPr>
        <w:pStyle w:val="3"/>
        <w:spacing w:line="480" w:lineRule="exac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附</w:t>
      </w:r>
      <w:r>
        <w:rPr>
          <w:rFonts w:ascii="仿宋_GB2312" w:hAnsi="Tahoma" w:eastAsia="仿宋_GB2312" w:cs="Tahoma"/>
          <w:color w:val="000000"/>
          <w:sz w:val="28"/>
          <w:szCs w:val="28"/>
        </w:rPr>
        <w:t>:1.</w:t>
      </w:r>
      <w:r>
        <w:rPr>
          <w:rFonts w:hint="eastAsia" w:ascii="仿宋" w:hAnsi="仿宋" w:eastAsia="仿宋" w:cs="仿宋"/>
          <w:sz w:val="28"/>
          <w:szCs w:val="28"/>
        </w:rPr>
        <w:t>统一社会信用代码营业执照复印件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（盖章）</w:t>
      </w:r>
    </w:p>
    <w:p>
      <w:pPr>
        <w:pStyle w:val="3"/>
        <w:spacing w:line="480" w:lineRule="exact"/>
        <w:ind w:firstLine="420" w:firstLineChars="150"/>
        <w:rPr>
          <w:rFonts w:hint="default" w:ascii="仿宋_GB2312" w:hAnsi="Tahoma" w:eastAsia="仿宋_GB2312" w:cs="Tahoma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  <w:t>2.有效期内的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  <w:t>CMA资质认定证书复印件（盖章）</w:t>
      </w:r>
    </w:p>
    <w:p>
      <w:pPr>
        <w:pStyle w:val="3"/>
        <w:spacing w:line="480" w:lineRule="exact"/>
        <w:ind w:firstLine="420" w:firstLineChars="150"/>
        <w:rPr>
          <w:rFonts w:ascii="仿宋_GB2312" w:hAnsi="仿宋" w:eastAsia="仿宋_GB2312" w:cs="Tahoma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  <w:t>3</w:t>
      </w:r>
      <w:r>
        <w:rPr>
          <w:rFonts w:ascii="仿宋_GB2312" w:hAnsi="Tahoma" w:eastAsia="仿宋_GB2312" w:cs="Tahoma"/>
          <w:color w:val="000000"/>
          <w:sz w:val="28"/>
          <w:szCs w:val="28"/>
        </w:rPr>
        <w:t>.</w:t>
      </w:r>
      <w:r>
        <w:rPr>
          <w:rFonts w:ascii="仿宋_GB2312" w:hAnsi="仿宋" w:eastAsia="仿宋_GB2312" w:cs="Tahoma"/>
          <w:sz w:val="28"/>
          <w:szCs w:val="28"/>
        </w:rPr>
        <w:t>20</w:t>
      </w:r>
      <w:r>
        <w:rPr>
          <w:rFonts w:hint="eastAsia" w:ascii="仿宋_GB2312" w:hAnsi="仿宋" w:eastAsia="仿宋_GB2312" w:cs="Tahoma"/>
          <w:sz w:val="28"/>
          <w:szCs w:val="28"/>
        </w:rPr>
        <w:t>2</w:t>
      </w:r>
      <w:r>
        <w:rPr>
          <w:rFonts w:hint="eastAsia" w:ascii="仿宋_GB2312" w:hAnsi="仿宋" w:eastAsia="仿宋_GB2312" w:cs="Tahoma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 w:cs="Tahoma"/>
          <w:sz w:val="28"/>
          <w:szCs w:val="28"/>
        </w:rPr>
        <w:t>年纳税人信用等级证明（盖章）</w:t>
      </w:r>
    </w:p>
    <w:p>
      <w:pPr>
        <w:pStyle w:val="3"/>
        <w:spacing w:line="480" w:lineRule="exact"/>
        <w:ind w:firstLine="420" w:firstLineChars="150"/>
        <w:rPr>
          <w:rFonts w:hint="eastAsia"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仿宋" w:eastAsia="仿宋_GB2312" w:cs="Tahoma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 w:cs="Tahoma"/>
          <w:color w:val="000000"/>
          <w:sz w:val="28"/>
          <w:szCs w:val="28"/>
        </w:rPr>
        <w:t>.“信用中国”网站的查询结果截图或打印件（盖章）</w:t>
      </w:r>
    </w:p>
    <w:p>
      <w:pPr>
        <w:pStyle w:val="3"/>
        <w:spacing w:line="480" w:lineRule="exact"/>
        <w:rPr>
          <w:rFonts w:hint="eastAsia" w:ascii="仿宋_GB2312" w:hAnsi="Tahoma" w:eastAsia="仿宋_GB2312" w:cs="Tahoma"/>
          <w:color w:val="000000"/>
          <w:sz w:val="28"/>
          <w:szCs w:val="28"/>
        </w:rPr>
      </w:pPr>
    </w:p>
    <w:p>
      <w:pPr>
        <w:pStyle w:val="3"/>
        <w:spacing w:line="480" w:lineRule="exact"/>
        <w:rPr>
          <w:rFonts w:hint="eastAsia" w:ascii="仿宋_GB2312" w:hAnsi="Tahoma" w:eastAsia="仿宋_GB2312" w:cs="Tahoma"/>
          <w:color w:val="000000"/>
          <w:sz w:val="28"/>
          <w:szCs w:val="28"/>
        </w:rPr>
      </w:pPr>
    </w:p>
    <w:p>
      <w:pPr>
        <w:pStyle w:val="3"/>
        <w:spacing w:line="480" w:lineRule="exact"/>
        <w:ind w:firstLine="4900" w:firstLineChars="1750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报价单位：</w:t>
      </w:r>
    </w:p>
    <w:p>
      <w:pPr>
        <w:pStyle w:val="3"/>
        <w:spacing w:line="480" w:lineRule="exact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ascii="仿宋_GB2312" w:hAnsi="Tahoma" w:eastAsia="仿宋_GB2312" w:cs="Tahoma"/>
          <w:color w:val="000000"/>
          <w:sz w:val="28"/>
          <w:szCs w:val="28"/>
        </w:rPr>
        <w:t xml:space="preserve">                                    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（盖章）</w:t>
      </w:r>
    </w:p>
    <w:p>
      <w:pPr>
        <w:pStyle w:val="3"/>
        <w:spacing w:line="480" w:lineRule="exact"/>
        <w:ind w:firstLine="4900" w:firstLineChars="1750"/>
        <w:rPr>
          <w:rFonts w:hint="eastAsia" w:ascii="仿宋_GB2312" w:hAnsi="Tahoma" w:eastAsia="仿宋_GB2312" w:cs="Tahoma"/>
          <w:color w:val="000000"/>
          <w:sz w:val="28"/>
          <w:szCs w:val="28"/>
        </w:rPr>
        <w:sectPr>
          <w:footerReference r:id="rId3" w:type="default"/>
          <w:footerReference r:id="rId4" w:type="even"/>
          <w:pgSz w:w="11907" w:h="16840"/>
          <w:pgMar w:top="1440" w:right="1797" w:bottom="1440" w:left="1797" w:header="851" w:footer="992" w:gutter="0"/>
          <w:cols w:space="720" w:num="1"/>
          <w:docGrid w:linePitch="312" w:charSpace="0"/>
        </w:sect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时</w:t>
      </w:r>
      <w:r>
        <w:rPr>
          <w:rFonts w:ascii="仿宋_GB2312" w:hAnsi="Tahoma" w:eastAsia="仿宋_GB2312" w:cs="Tahoma"/>
          <w:color w:val="000000"/>
          <w:sz w:val="28"/>
          <w:szCs w:val="28"/>
        </w:rPr>
        <w:t xml:space="preserve">    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间：</w:t>
      </w:r>
    </w:p>
    <w:p>
      <w:pPr>
        <w:spacing w:line="480" w:lineRule="exact"/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/>
        </w:rPr>
        <w:t>附件二</w:t>
      </w: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spacing w:before="234" w:line="236" w:lineRule="auto"/>
        <w:jc w:val="center"/>
        <w:rPr>
          <w:rFonts w:ascii="宋体" w:hAnsi="宋体" w:eastAsia="宋体" w:cs="宋体"/>
          <w:sz w:val="72"/>
          <w:szCs w:val="72"/>
        </w:rPr>
      </w:pPr>
      <w:bookmarkStart w:id="0" w:name="bookmark48"/>
      <w:bookmarkEnd w:id="0"/>
      <w:r>
        <w:rPr>
          <w:rFonts w:hint="eastAsia" w:ascii="宋体" w:hAnsi="宋体" w:eastAsia="宋体" w:cs="宋体"/>
          <w:b/>
          <w:bCs/>
          <w:spacing w:val="-9"/>
          <w:sz w:val="72"/>
          <w:szCs w:val="72"/>
          <w:lang w:val="en-US" w:eastAsia="zh-CN"/>
        </w:rPr>
        <w:t>福州民天实业有限</w:t>
      </w:r>
      <w:r>
        <w:rPr>
          <w:rFonts w:ascii="宋体" w:hAnsi="宋体" w:eastAsia="宋体" w:cs="宋体"/>
          <w:b/>
          <w:bCs/>
          <w:spacing w:val="-9"/>
          <w:sz w:val="72"/>
          <w:szCs w:val="72"/>
        </w:rPr>
        <w:t>公司</w:t>
      </w:r>
    </w:p>
    <w:p>
      <w:pPr>
        <w:spacing w:before="227" w:line="220" w:lineRule="auto"/>
        <w:ind w:firstLine="1322" w:firstLineChars="200"/>
        <w:rPr>
          <w:rFonts w:ascii="宋体" w:hAnsi="宋体" w:eastAsia="宋体" w:cs="宋体"/>
          <w:sz w:val="72"/>
          <w:szCs w:val="72"/>
        </w:rPr>
      </w:pPr>
      <w:r>
        <w:rPr>
          <w:rFonts w:ascii="宋体" w:hAnsi="宋体" w:eastAsia="宋体" w:cs="宋体"/>
          <w:b/>
          <w:bCs/>
          <w:spacing w:val="-31"/>
          <w:sz w:val="72"/>
          <w:szCs w:val="72"/>
        </w:rPr>
        <w:t>自行监测</w:t>
      </w:r>
      <w:r>
        <w:rPr>
          <w:rFonts w:hint="eastAsia" w:ascii="宋体" w:hAnsi="宋体" w:eastAsia="宋体" w:cs="宋体"/>
          <w:b/>
          <w:bCs/>
          <w:spacing w:val="-31"/>
          <w:sz w:val="72"/>
          <w:szCs w:val="72"/>
          <w:lang w:val="en-US" w:eastAsia="zh-CN"/>
        </w:rPr>
        <w:t>需求</w:t>
      </w:r>
      <w:r>
        <w:rPr>
          <w:rFonts w:ascii="宋体" w:hAnsi="宋体" w:eastAsia="宋体" w:cs="宋体"/>
          <w:b/>
          <w:bCs/>
          <w:spacing w:val="-31"/>
          <w:sz w:val="72"/>
          <w:szCs w:val="72"/>
        </w:rPr>
        <w:t>方案</w:t>
      </w: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spacing w:before="101" w:line="241" w:lineRule="auto"/>
        <w:jc w:val="center"/>
        <w:rPr>
          <w:rFonts w:hint="default" w:ascii="Times New Roman" w:hAnsi="Times New Roman" w:eastAsia="宋体" w:cs="Times New Roman"/>
          <w:sz w:val="31"/>
          <w:szCs w:val="31"/>
        </w:rPr>
      </w:pPr>
      <w:r>
        <w:rPr>
          <w:rFonts w:hint="eastAsia" w:ascii="Times New Roman" w:hAnsi="Times New Roman" w:eastAsia="宋体" w:cs="Times New Roman"/>
          <w:b/>
          <w:bCs/>
          <w:spacing w:val="3"/>
          <w:sz w:val="31"/>
          <w:szCs w:val="31"/>
          <w:lang w:val="en-US" w:eastAsia="zh-CN"/>
        </w:rPr>
        <w:t>福州</w:t>
      </w:r>
      <w:r>
        <w:rPr>
          <w:rFonts w:hint="default" w:ascii="Times New Roman" w:hAnsi="Times New Roman" w:eastAsia="Times New Roman" w:cs="Times New Roman"/>
          <w:b/>
          <w:bCs/>
          <w:spacing w:val="3"/>
          <w:sz w:val="31"/>
          <w:szCs w:val="31"/>
        </w:rPr>
        <w:t>民天实业有限</w:t>
      </w:r>
      <w:r>
        <w:rPr>
          <w:rFonts w:hint="default" w:ascii="Times New Roman" w:hAnsi="Times New Roman" w:eastAsia="宋体" w:cs="Times New Roman"/>
          <w:b/>
          <w:bCs/>
          <w:spacing w:val="3"/>
          <w:sz w:val="31"/>
          <w:szCs w:val="31"/>
        </w:rPr>
        <w:t>公司</w:t>
      </w:r>
    </w:p>
    <w:p>
      <w:pPr>
        <w:spacing w:before="101" w:line="225" w:lineRule="auto"/>
        <w:rPr>
          <w:rFonts w:hint="default" w:ascii="Times New Roman" w:hAnsi="Times New Roman" w:eastAsia="宋体" w:cs="Times New Roman"/>
          <w:b/>
          <w:bCs/>
          <w:spacing w:val="-6"/>
          <w:sz w:val="31"/>
          <w:szCs w:val="31"/>
        </w:rPr>
      </w:pPr>
    </w:p>
    <w:p>
      <w:pPr>
        <w:ind w:left="0" w:leftChars="0" w:firstLine="0" w:firstLineChars="0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2"/>
        <w:spacing w:before="186" w:line="221" w:lineRule="auto"/>
        <w:ind w:left="313"/>
        <w:outlineLvl w:val="0"/>
        <w:rPr>
          <w:rFonts w:hint="eastAsia" w:ascii="宋体" w:hAnsi="宋体" w:eastAsia="宋体" w:cs="宋体"/>
          <w:b/>
          <w:bCs/>
          <w:spacing w:val="9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9"/>
          <w:sz w:val="24"/>
          <w:szCs w:val="24"/>
          <w:lang w:val="en-US" w:eastAsia="zh-CN"/>
        </w:rPr>
        <w:t>一、监测信息</w:t>
      </w:r>
    </w:p>
    <w:p>
      <w:pPr>
        <w:pStyle w:val="2"/>
        <w:spacing w:before="186" w:line="221" w:lineRule="auto"/>
        <w:ind w:left="313"/>
        <w:outlineLvl w:val="0"/>
        <w:rPr>
          <w:rFonts w:hint="eastAsia" w:ascii="宋体" w:hAnsi="宋体" w:eastAsia="宋体" w:cs="宋体"/>
          <w:b/>
          <w:bCs/>
          <w:spacing w:val="9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9"/>
          <w:sz w:val="24"/>
          <w:szCs w:val="24"/>
          <w:lang w:val="en-US" w:eastAsia="zh-CN"/>
        </w:rPr>
        <w:t>（一）监测点位及示意图</w:t>
      </w:r>
    </w:p>
    <w:p>
      <w:pPr>
        <w:pStyle w:val="2"/>
        <w:spacing w:before="186" w:line="221" w:lineRule="auto"/>
        <w:ind w:left="313" w:firstLine="516" w:firstLineChars="200"/>
        <w:outlineLvl w:val="0"/>
        <w:rPr>
          <w:rFonts w:hint="default" w:ascii="宋体" w:hAnsi="宋体" w:eastAsia="宋体" w:cs="宋体"/>
          <w:b w:val="0"/>
          <w:bCs w:val="0"/>
          <w:spacing w:val="9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9"/>
          <w:sz w:val="24"/>
          <w:szCs w:val="24"/>
          <w:lang w:val="en-US" w:eastAsia="zh-CN"/>
        </w:rPr>
        <w:t>项目监测地点位于福州市闽侯县南通镇北部，316-324 国道连接线旁，海峡农副产品批发市场内，具体监测点位如下图所示。</w:t>
      </w:r>
    </w:p>
    <w:p>
      <w:pPr>
        <w:pStyle w:val="2"/>
        <w:spacing w:before="186" w:line="221" w:lineRule="auto"/>
        <w:ind w:left="313"/>
        <w:jc w:val="center"/>
        <w:outlineLvl w:val="0"/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drawing>
          <wp:inline distT="0" distB="0" distL="114300" distR="114300">
            <wp:extent cx="6855460" cy="405257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5460" cy="405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186" w:line="221" w:lineRule="auto"/>
        <w:ind w:left="313"/>
        <w:outlineLvl w:val="0"/>
        <w:rPr>
          <w:rFonts w:hint="eastAsia" w:ascii="宋体" w:hAnsi="宋体" w:eastAsia="宋体" w:cs="宋体"/>
          <w:b/>
          <w:bCs/>
          <w:spacing w:val="9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9"/>
          <w:sz w:val="24"/>
          <w:szCs w:val="24"/>
          <w:lang w:val="en-US" w:eastAsia="zh-CN"/>
        </w:rPr>
        <w:t>(二)监测指标、频次及使用的监测分析方法、采样方法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254"/>
        <w:gridCol w:w="1389"/>
        <w:gridCol w:w="1250"/>
        <w:gridCol w:w="1253"/>
        <w:gridCol w:w="5991"/>
        <w:gridCol w:w="2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序号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类型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监测点名称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监测指标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监测方式</w:t>
            </w:r>
          </w:p>
        </w:tc>
        <w:tc>
          <w:tcPr>
            <w:tcW w:w="5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监测分析方法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采样方法及监测频次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spacing w:val="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4"/>
                <w:lang w:val="en-US" w:eastAsia="zh-CN"/>
              </w:rPr>
              <w:t>1</w:t>
            </w:r>
          </w:p>
        </w:tc>
        <w:tc>
          <w:tcPr>
            <w:tcW w:w="1254" w:type="dxa"/>
            <w:vMerge w:val="restar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spacing w:val="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4"/>
                <w:lang w:val="en-US" w:eastAsia="zh-CN"/>
              </w:rPr>
              <w:t>废气</w:t>
            </w:r>
          </w:p>
        </w:tc>
        <w:tc>
          <w:tcPr>
            <w:tcW w:w="1389" w:type="dxa"/>
            <w:vMerge w:val="restar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畜禽定点屠宰配送中心废气处理设施排气筒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spacing w:val="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4"/>
                <w:lang w:val="en-US" w:eastAsia="zh-CN"/>
              </w:rPr>
              <w:t>（DA001）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4"/>
                <w:lang w:val="en-US" w:eastAsia="zh-CN"/>
              </w:rPr>
              <w:t>氨气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4"/>
                <w:lang w:val="en-US" w:eastAsia="zh-CN"/>
              </w:rPr>
              <w:t>委托监测</w:t>
            </w:r>
          </w:p>
        </w:tc>
        <w:tc>
          <w:tcPr>
            <w:tcW w:w="5991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eastAsia" w:ascii="Times New Roman" w:hAnsi="Times New Roman" w:cs="Times New Roman"/>
                <w:spacing w:val="4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4"/>
                <w:lang w:eastAsia="zh-CN"/>
              </w:rPr>
              <w:t>《环境空气和废气 氨的测定 纳氏试剂分光光度法》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spacing w:val="4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4"/>
                <w:lang w:eastAsia="zh-CN"/>
              </w:rPr>
              <w:t>（HJ 533-2009）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非连续采样至少3个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spacing w:val="4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1次/</w:t>
            </w:r>
            <w:r>
              <w:rPr>
                <w:rFonts w:hint="eastAsia" w:ascii="Times New Roman" w:hAnsi="Times New Roman" w:cs="Times New Roman"/>
                <w:spacing w:val="4"/>
                <w:lang w:val="en-US" w:eastAsia="zh-CN"/>
              </w:rPr>
              <w:t>半年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spacing w:val="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4"/>
                <w:lang w:val="en-US" w:eastAsia="zh-CN"/>
              </w:rPr>
              <w:t>2</w:t>
            </w:r>
          </w:p>
        </w:tc>
        <w:tc>
          <w:tcPr>
            <w:tcW w:w="1254" w:type="dxa"/>
            <w:vMerge w:val="continue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</w:rPr>
            </w:pPr>
          </w:p>
        </w:tc>
        <w:tc>
          <w:tcPr>
            <w:tcW w:w="1389" w:type="dxa"/>
            <w:vMerge w:val="continue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4"/>
                <w:lang w:val="en-US" w:eastAsia="zh-CN"/>
              </w:rPr>
              <w:t>硫化氢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</w:rPr>
            </w:pPr>
            <w:r>
              <w:rPr>
                <w:rFonts w:hint="default" w:ascii="Times New Roman" w:hAnsi="Times New Roman" w:cs="Times New Roman"/>
                <w:spacing w:val="4"/>
                <w:lang w:val="en-US" w:eastAsia="zh-CN"/>
              </w:rPr>
              <w:t>委托监测</w:t>
            </w:r>
          </w:p>
        </w:tc>
        <w:tc>
          <w:tcPr>
            <w:tcW w:w="5991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《环境空气和废气 硫化氢等气态污染物的测定 开放光程紫外吸收光谱法》（DB3502/T 145-2024）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非连续采样至少3个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1次/</w:t>
            </w:r>
            <w:r>
              <w:rPr>
                <w:rFonts w:hint="eastAsia" w:ascii="Times New Roman" w:hAnsi="Times New Roman" w:cs="Times New Roman"/>
                <w:spacing w:val="4"/>
                <w:lang w:val="en-US" w:eastAsia="zh-CN"/>
              </w:rPr>
              <w:t>半年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pacing w:val="4"/>
                <w:lang w:val="en-US" w:eastAsia="zh-CN"/>
              </w:rPr>
              <w:t>3</w:t>
            </w:r>
          </w:p>
        </w:tc>
        <w:tc>
          <w:tcPr>
            <w:tcW w:w="1254" w:type="dxa"/>
            <w:vMerge w:val="continue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</w:rPr>
            </w:pPr>
          </w:p>
        </w:tc>
        <w:tc>
          <w:tcPr>
            <w:tcW w:w="1389" w:type="dxa"/>
            <w:vMerge w:val="continue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4"/>
                <w:lang w:val="en-US" w:eastAsia="zh-CN"/>
              </w:rPr>
              <w:t>臭气浓度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4"/>
                <w:lang w:val="en-US" w:eastAsia="zh-CN"/>
              </w:rPr>
              <w:t>委托监测</w:t>
            </w:r>
          </w:p>
        </w:tc>
        <w:tc>
          <w:tcPr>
            <w:tcW w:w="5991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eastAsia" w:ascii="Times New Roman" w:hAnsi="Times New Roman" w:cs="Times New Roman"/>
                <w:spacing w:val="4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4"/>
                <w:lang w:eastAsia="zh-CN"/>
              </w:rPr>
              <w:t>《</w:t>
            </w:r>
            <w:r>
              <w:rPr>
                <w:rFonts w:hint="default" w:ascii="Times New Roman" w:hAnsi="Times New Roman" w:cs="Times New Roman"/>
                <w:spacing w:val="4"/>
              </w:rPr>
              <w:t>空气质量 恶臭的测定 三点比较式臭袋法</w:t>
            </w:r>
            <w:r>
              <w:rPr>
                <w:rFonts w:hint="eastAsia" w:ascii="Times New Roman" w:hAnsi="Times New Roman" w:cs="Times New Roman"/>
                <w:spacing w:val="4"/>
                <w:lang w:eastAsia="zh-CN"/>
              </w:rPr>
              <w:t>》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spacing w:val="4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4"/>
              </w:rPr>
              <w:t>GB T 14675-1993</w:t>
            </w:r>
            <w:r>
              <w:rPr>
                <w:rFonts w:hint="eastAsia" w:ascii="Times New Roman" w:hAnsi="Times New Roman" w:cs="Times New Roman"/>
                <w:spacing w:val="4"/>
                <w:lang w:eastAsia="zh-CN"/>
              </w:rPr>
              <w:t>）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非连续采样至少3个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1次/</w:t>
            </w:r>
            <w:r>
              <w:rPr>
                <w:rFonts w:hint="eastAsia" w:ascii="Times New Roman" w:hAnsi="Times New Roman" w:cs="Times New Roman"/>
                <w:spacing w:val="4"/>
                <w:lang w:val="en-US" w:eastAsia="zh-CN"/>
              </w:rPr>
              <w:t>半年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pacing w:val="4"/>
                <w:lang w:val="en-US" w:eastAsia="zh-CN"/>
              </w:rPr>
              <w:t>4</w:t>
            </w:r>
          </w:p>
        </w:tc>
        <w:tc>
          <w:tcPr>
            <w:tcW w:w="1254" w:type="dxa"/>
            <w:vMerge w:val="continue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</w:rPr>
            </w:pPr>
          </w:p>
        </w:tc>
        <w:tc>
          <w:tcPr>
            <w:tcW w:w="1389" w:type="dxa"/>
            <w:vMerge w:val="restar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spacing w:val="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4"/>
                <w:lang w:val="en-US" w:eastAsia="zh-CN"/>
              </w:rPr>
              <w:t>厂界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</w:rPr>
            </w:pPr>
            <w:r>
              <w:rPr>
                <w:rFonts w:hint="default" w:ascii="Times New Roman" w:hAnsi="Times New Roman" w:cs="Times New Roman"/>
                <w:spacing w:val="4"/>
                <w:lang w:val="en-US" w:eastAsia="zh-CN"/>
              </w:rPr>
              <w:t>氨气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</w:rPr>
            </w:pPr>
            <w:r>
              <w:rPr>
                <w:rFonts w:hint="default" w:ascii="Times New Roman" w:hAnsi="Times New Roman" w:cs="Times New Roman"/>
                <w:spacing w:val="4"/>
                <w:lang w:val="en-US" w:eastAsia="zh-CN"/>
              </w:rPr>
              <w:t>委托监测</w:t>
            </w:r>
          </w:p>
        </w:tc>
        <w:tc>
          <w:tcPr>
            <w:tcW w:w="5991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eastAsia" w:ascii="Times New Roman" w:hAnsi="Times New Roman" w:cs="Times New Roman"/>
                <w:spacing w:val="4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4"/>
                <w:lang w:eastAsia="zh-CN"/>
              </w:rPr>
              <w:t>《环境空气和废气 氨的测定 纳氏试剂分光光度法》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pacing w:val="4"/>
                <w:lang w:eastAsia="zh-CN"/>
              </w:rPr>
              <w:t>（HJ 533-2009）</w:t>
            </w:r>
          </w:p>
        </w:tc>
        <w:tc>
          <w:tcPr>
            <w:tcW w:w="2167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4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</w:rPr>
              <w:t>非连续采样至少4</w:t>
            </w:r>
            <w:r>
              <w:rPr>
                <w:rFonts w:hint="eastAsia" w:ascii="Times New Roman" w:hAnsi="Times New Roman" w:cs="Times New Roman"/>
                <w:spacing w:val="4"/>
                <w:lang w:val="en-US" w:eastAsia="zh-CN"/>
              </w:rPr>
              <w:t>个</w:t>
            </w:r>
            <w:r>
              <w:rPr>
                <w:rFonts w:hint="default" w:ascii="Times New Roman" w:hAnsi="Times New Roman" w:eastAsia="宋体" w:cs="Times New Roman"/>
                <w:spacing w:val="4"/>
              </w:rPr>
              <w:t xml:space="preserve">  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4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</w:rPr>
              <w:t>1次/</w:t>
            </w:r>
            <w:r>
              <w:rPr>
                <w:rFonts w:hint="eastAsia" w:ascii="Times New Roman" w:hAnsi="Times New Roman" w:cs="Times New Roman"/>
                <w:spacing w:val="4"/>
                <w:lang w:val="en-US" w:eastAsia="zh-CN"/>
              </w:rPr>
              <w:t>半年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pacing w:val="4"/>
                <w:lang w:val="en-US" w:eastAsia="zh-CN"/>
              </w:rPr>
              <w:t>5</w:t>
            </w:r>
          </w:p>
        </w:tc>
        <w:tc>
          <w:tcPr>
            <w:tcW w:w="1254" w:type="dxa"/>
            <w:vMerge w:val="continue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</w:rPr>
            </w:pPr>
          </w:p>
        </w:tc>
        <w:tc>
          <w:tcPr>
            <w:tcW w:w="1389" w:type="dxa"/>
            <w:vMerge w:val="continue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</w:rPr>
            </w:pPr>
            <w:r>
              <w:rPr>
                <w:rFonts w:hint="default" w:ascii="Times New Roman" w:hAnsi="Times New Roman" w:cs="Times New Roman"/>
                <w:spacing w:val="4"/>
                <w:lang w:val="en-US" w:eastAsia="zh-CN"/>
              </w:rPr>
              <w:t>硫化氢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</w:rPr>
            </w:pPr>
            <w:r>
              <w:rPr>
                <w:rFonts w:hint="default" w:ascii="Times New Roman" w:hAnsi="Times New Roman" w:cs="Times New Roman"/>
                <w:spacing w:val="4"/>
                <w:lang w:val="en-US" w:eastAsia="zh-CN"/>
              </w:rPr>
              <w:t>委托监测</w:t>
            </w:r>
          </w:p>
        </w:tc>
        <w:tc>
          <w:tcPr>
            <w:tcW w:w="5991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《环境空气和废气 硫化氢等气态污染物的测定 开放光程紫外吸收光谱法》（DB3502/T 145-2024）</w:t>
            </w:r>
          </w:p>
        </w:tc>
        <w:tc>
          <w:tcPr>
            <w:tcW w:w="2167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4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</w:rPr>
              <w:t>非连续采样至少4</w:t>
            </w:r>
            <w:r>
              <w:rPr>
                <w:rFonts w:hint="eastAsia" w:ascii="Times New Roman" w:hAnsi="Times New Roman" w:cs="Times New Roman"/>
                <w:spacing w:val="4"/>
                <w:lang w:val="en-US" w:eastAsia="zh-CN"/>
              </w:rPr>
              <w:t>个</w:t>
            </w:r>
            <w:r>
              <w:rPr>
                <w:rFonts w:hint="default" w:ascii="Times New Roman" w:hAnsi="Times New Roman" w:eastAsia="宋体" w:cs="Times New Roman"/>
                <w:spacing w:val="4"/>
              </w:rPr>
              <w:t xml:space="preserve"> 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4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</w:rPr>
              <w:t>1次/</w:t>
            </w:r>
            <w:r>
              <w:rPr>
                <w:rFonts w:hint="eastAsia" w:ascii="Times New Roman" w:hAnsi="Times New Roman" w:cs="Times New Roman"/>
                <w:spacing w:val="4"/>
                <w:lang w:val="en-US" w:eastAsia="zh-CN"/>
              </w:rPr>
              <w:t>半年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pacing w:val="4"/>
                <w:lang w:val="en-US" w:eastAsia="zh-CN"/>
              </w:rPr>
              <w:t>6</w:t>
            </w:r>
          </w:p>
        </w:tc>
        <w:tc>
          <w:tcPr>
            <w:tcW w:w="1254" w:type="dxa"/>
            <w:vMerge w:val="continue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</w:rPr>
            </w:pPr>
          </w:p>
        </w:tc>
        <w:tc>
          <w:tcPr>
            <w:tcW w:w="1389" w:type="dxa"/>
            <w:vMerge w:val="continue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4"/>
                <w:lang w:val="en-US" w:eastAsia="zh-CN"/>
              </w:rPr>
              <w:t>臭气浓度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4"/>
                <w:lang w:val="en-US" w:eastAsia="zh-CN"/>
              </w:rPr>
              <w:t>委托监测</w:t>
            </w:r>
          </w:p>
        </w:tc>
        <w:tc>
          <w:tcPr>
            <w:tcW w:w="5991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eastAsia" w:ascii="Times New Roman" w:hAnsi="Times New Roman" w:cs="Times New Roman"/>
                <w:spacing w:val="4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4"/>
                <w:lang w:eastAsia="zh-CN"/>
              </w:rPr>
              <w:t>《</w:t>
            </w:r>
            <w:r>
              <w:rPr>
                <w:rFonts w:hint="default" w:ascii="Times New Roman" w:hAnsi="Times New Roman" w:cs="Times New Roman"/>
                <w:spacing w:val="4"/>
              </w:rPr>
              <w:t>空气质量 恶臭的测定 三点比较式臭袋法</w:t>
            </w:r>
            <w:r>
              <w:rPr>
                <w:rFonts w:hint="eastAsia" w:ascii="Times New Roman" w:hAnsi="Times New Roman" w:cs="Times New Roman"/>
                <w:spacing w:val="4"/>
                <w:lang w:eastAsia="zh-CN"/>
              </w:rPr>
              <w:t>》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</w:rPr>
            </w:pPr>
            <w:r>
              <w:rPr>
                <w:rFonts w:hint="eastAsia" w:ascii="Times New Roman" w:hAnsi="Times New Roman" w:cs="Times New Roman"/>
                <w:spacing w:val="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4"/>
              </w:rPr>
              <w:t>GB T 14675-1993</w:t>
            </w:r>
            <w:r>
              <w:rPr>
                <w:rFonts w:hint="eastAsia" w:ascii="Times New Roman" w:hAnsi="Times New Roman" w:cs="Times New Roman"/>
                <w:spacing w:val="4"/>
                <w:lang w:eastAsia="zh-CN"/>
              </w:rPr>
              <w:t>）</w:t>
            </w:r>
          </w:p>
        </w:tc>
        <w:tc>
          <w:tcPr>
            <w:tcW w:w="2167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4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</w:rPr>
              <w:t>非连续采样至少4</w:t>
            </w:r>
            <w:r>
              <w:rPr>
                <w:rFonts w:hint="eastAsia" w:ascii="Times New Roman" w:hAnsi="Times New Roman" w:cs="Times New Roman"/>
                <w:spacing w:val="4"/>
                <w:lang w:val="en-US" w:eastAsia="zh-CN"/>
              </w:rPr>
              <w:t>个</w:t>
            </w:r>
            <w:r>
              <w:rPr>
                <w:rFonts w:hint="default" w:ascii="Times New Roman" w:hAnsi="Times New Roman" w:eastAsia="宋体" w:cs="Times New Roman"/>
                <w:spacing w:val="4"/>
              </w:rPr>
              <w:t xml:space="preserve"> 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4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</w:rPr>
              <w:t>1次/</w:t>
            </w:r>
            <w:r>
              <w:rPr>
                <w:rFonts w:hint="eastAsia" w:ascii="Times New Roman" w:hAnsi="Times New Roman" w:cs="Times New Roman"/>
                <w:spacing w:val="4"/>
                <w:lang w:val="en-US" w:eastAsia="zh-CN"/>
              </w:rPr>
              <w:t>半年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pacing w:val="4"/>
                <w:lang w:val="en-US" w:eastAsia="zh-CN"/>
              </w:rPr>
              <w:t>7</w:t>
            </w:r>
          </w:p>
        </w:tc>
        <w:tc>
          <w:tcPr>
            <w:tcW w:w="1254" w:type="dxa"/>
            <w:vMerge w:val="restar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spacing w:val="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4"/>
                <w:lang w:val="en-US" w:eastAsia="zh-CN"/>
              </w:rPr>
              <w:t>废水</w:t>
            </w:r>
          </w:p>
        </w:tc>
        <w:tc>
          <w:tcPr>
            <w:tcW w:w="1389" w:type="dxa"/>
            <w:vMerge w:val="restar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厂区污水总排放口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spacing w:val="4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pacing w:val="4"/>
                <w:lang w:val="en-US" w:eastAsia="zh-CN"/>
              </w:rPr>
              <w:t>DW001</w:t>
            </w:r>
            <w:r>
              <w:rPr>
                <w:rFonts w:hint="eastAsia" w:ascii="Times New Roman" w:hAnsi="Times New Roman" w:cs="Times New Roman"/>
                <w:spacing w:val="4"/>
                <w:lang w:eastAsia="zh-CN"/>
              </w:rPr>
              <w:t>）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4"/>
                <w:lang w:val="en-US" w:eastAsia="zh-CN"/>
              </w:rPr>
              <w:t>pH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</w:rPr>
            </w:pPr>
            <w:r>
              <w:rPr>
                <w:rFonts w:hint="default" w:ascii="Times New Roman" w:hAnsi="Times New Roman" w:cs="Times New Roman"/>
                <w:spacing w:val="4"/>
                <w:lang w:val="en-US" w:eastAsia="zh-CN"/>
              </w:rPr>
              <w:t>委托监测</w:t>
            </w:r>
          </w:p>
        </w:tc>
        <w:tc>
          <w:tcPr>
            <w:tcW w:w="5991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spacing w:val="4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4"/>
                <w:lang w:eastAsia="zh-CN"/>
              </w:rPr>
              <w:t>《</w:t>
            </w:r>
            <w:r>
              <w:rPr>
                <w:rFonts w:hint="default" w:ascii="Times New Roman" w:hAnsi="Times New Roman" w:cs="Times New Roman"/>
                <w:spacing w:val="4"/>
              </w:rPr>
              <w:t>水质 pH值的测定 玻璃电极法</w:t>
            </w:r>
            <w:r>
              <w:rPr>
                <w:rFonts w:hint="eastAsia" w:ascii="Times New Roman" w:hAnsi="Times New Roman" w:cs="Times New Roman"/>
                <w:spacing w:val="4"/>
                <w:lang w:eastAsia="zh-CN"/>
              </w:rPr>
              <w:t>》（GB 6920-86）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瞬时采样</w:t>
            </w:r>
            <w:r>
              <w:rPr>
                <w:rFonts w:hint="eastAsia" w:ascii="Times New Roman" w:hAnsi="Times New Roman" w:cs="Times New Roman"/>
                <w:spacing w:val="4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pacing w:val="4"/>
              </w:rPr>
              <w:t>至少3个瞬时样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</w:rPr>
              <w:t>1次/</w:t>
            </w:r>
            <w:r>
              <w:rPr>
                <w:rFonts w:hint="eastAsia" w:ascii="Times New Roman" w:hAnsi="Times New Roman" w:cs="Times New Roman"/>
                <w:spacing w:val="4"/>
                <w:lang w:val="en-US" w:eastAsia="zh-CN"/>
              </w:rPr>
              <w:t>半年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pacing w:val="4"/>
                <w:lang w:val="en-US" w:eastAsia="zh-CN"/>
              </w:rPr>
              <w:t>8</w:t>
            </w:r>
          </w:p>
        </w:tc>
        <w:tc>
          <w:tcPr>
            <w:tcW w:w="1254" w:type="dxa"/>
            <w:vMerge w:val="continue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</w:rPr>
            </w:pPr>
          </w:p>
        </w:tc>
        <w:tc>
          <w:tcPr>
            <w:tcW w:w="1389" w:type="dxa"/>
            <w:vMerge w:val="continue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4"/>
                <w:lang w:val="en-US" w:eastAsia="zh-CN"/>
              </w:rPr>
              <w:t>COD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4"/>
                <w:lang w:val="en-US" w:eastAsia="zh-CN"/>
              </w:rPr>
              <w:t>自动监测</w:t>
            </w:r>
          </w:p>
        </w:tc>
        <w:tc>
          <w:tcPr>
            <w:tcW w:w="5991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</w:rPr>
            </w:pPr>
            <w:r>
              <w:rPr>
                <w:rFonts w:hint="eastAsia" w:ascii="Times New Roman" w:hAnsi="Times New Roman" w:cs="Times New Roman"/>
                <w:spacing w:val="4"/>
                <w:lang w:eastAsia="zh-CN"/>
              </w:rPr>
              <w:t>《</w:t>
            </w:r>
            <w:r>
              <w:rPr>
                <w:rFonts w:hint="default" w:ascii="Times New Roman" w:hAnsi="Times New Roman" w:cs="Times New Roman"/>
                <w:spacing w:val="4"/>
              </w:rPr>
              <w:t>水质 化学需氧量的测定 重铬酸盐法</w:t>
            </w:r>
            <w:r>
              <w:rPr>
                <w:rFonts w:hint="eastAsia" w:ascii="Times New Roman" w:hAnsi="Times New Roman" w:cs="Times New Roman"/>
                <w:spacing w:val="4"/>
                <w:lang w:eastAsia="zh-CN"/>
              </w:rPr>
              <w:t>》（</w:t>
            </w:r>
            <w:r>
              <w:rPr>
                <w:rFonts w:hint="default" w:ascii="Times New Roman" w:hAnsi="Times New Roman" w:cs="Times New Roman"/>
                <w:spacing w:val="4"/>
              </w:rPr>
              <w:t>HJ 828-2017</w:t>
            </w:r>
            <w:r>
              <w:rPr>
                <w:rFonts w:hint="eastAsia" w:ascii="Times New Roman" w:hAnsi="Times New Roman" w:cs="Times New Roman"/>
                <w:spacing w:val="4"/>
                <w:lang w:eastAsia="zh-CN"/>
              </w:rPr>
              <w:t>）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4"/>
                <w:lang w:val="en-US" w:eastAsia="zh-CN"/>
              </w:rPr>
              <w:t>自动监测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pacing w:val="4"/>
                <w:lang w:val="en-US" w:eastAsia="zh-CN"/>
              </w:rPr>
              <w:t>9</w:t>
            </w:r>
          </w:p>
        </w:tc>
        <w:tc>
          <w:tcPr>
            <w:tcW w:w="1254" w:type="dxa"/>
            <w:vMerge w:val="continue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</w:rPr>
            </w:pPr>
          </w:p>
        </w:tc>
        <w:tc>
          <w:tcPr>
            <w:tcW w:w="1389" w:type="dxa"/>
            <w:vMerge w:val="continue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4"/>
                <w:lang w:val="en-US" w:eastAsia="zh-CN"/>
              </w:rPr>
              <w:t>BOD</w:t>
            </w:r>
            <w:r>
              <w:rPr>
                <w:rFonts w:hint="eastAsia" w:ascii="Times New Roman" w:hAnsi="Times New Roman" w:cs="Times New Roman"/>
                <w:spacing w:val="4"/>
                <w:vertAlign w:val="subscript"/>
                <w:lang w:val="en-US" w:eastAsia="zh-CN"/>
              </w:rPr>
              <w:t>5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</w:rPr>
            </w:pPr>
            <w:r>
              <w:rPr>
                <w:rFonts w:hint="default" w:ascii="Times New Roman" w:hAnsi="Times New Roman" w:cs="Times New Roman"/>
                <w:spacing w:val="4"/>
                <w:lang w:val="en-US" w:eastAsia="zh-CN"/>
              </w:rPr>
              <w:t>委托监测</w:t>
            </w:r>
          </w:p>
        </w:tc>
        <w:tc>
          <w:tcPr>
            <w:tcW w:w="5991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</w:rPr>
            </w:pPr>
            <w:r>
              <w:rPr>
                <w:rFonts w:hint="eastAsia" w:ascii="Times New Roman" w:hAnsi="Times New Roman" w:cs="Times New Roman"/>
                <w:spacing w:val="4"/>
                <w:lang w:eastAsia="zh-CN"/>
              </w:rPr>
              <w:t>《</w:t>
            </w:r>
            <w:r>
              <w:rPr>
                <w:rFonts w:hint="default" w:ascii="Times New Roman" w:hAnsi="Times New Roman" w:cs="Times New Roman"/>
                <w:spacing w:val="4"/>
              </w:rPr>
              <w:t>水质 五日生化需氧量（BOD</w:t>
            </w:r>
            <w:r>
              <w:rPr>
                <w:rFonts w:hint="default" w:ascii="Times New Roman" w:hAnsi="Times New Roman" w:cs="Times New Roman"/>
                <w:spacing w:val="4"/>
                <w:vertAlign w:val="subscript"/>
              </w:rPr>
              <w:t>5</w:t>
            </w:r>
            <w:r>
              <w:rPr>
                <w:rFonts w:hint="default" w:ascii="Times New Roman" w:hAnsi="Times New Roman" w:cs="Times New Roman"/>
                <w:spacing w:val="4"/>
              </w:rPr>
              <w:t>）的测定 稀释与接种法</w:t>
            </w:r>
            <w:r>
              <w:rPr>
                <w:rFonts w:hint="eastAsia" w:ascii="Times New Roman" w:hAnsi="Times New Roman" w:cs="Times New Roman"/>
                <w:spacing w:val="4"/>
                <w:lang w:eastAsia="zh-CN"/>
              </w:rPr>
              <w:t>》（HJ 505</w:t>
            </w:r>
            <w:r>
              <w:rPr>
                <w:rFonts w:hint="eastAsia" w:ascii="Times New Roman" w:hAnsi="Times New Roman" w:cs="Times New Roman"/>
                <w:spacing w:val="4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pacing w:val="4"/>
                <w:lang w:eastAsia="zh-CN"/>
              </w:rPr>
              <w:t>2009）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瞬时采样</w:t>
            </w:r>
            <w:r>
              <w:rPr>
                <w:rFonts w:hint="eastAsia" w:ascii="Times New Roman" w:hAnsi="Times New Roman" w:cs="Times New Roman"/>
                <w:spacing w:val="4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pacing w:val="4"/>
              </w:rPr>
              <w:t>至少3个瞬时样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</w:rPr>
              <w:t>1次/</w:t>
            </w:r>
            <w:r>
              <w:rPr>
                <w:rFonts w:hint="eastAsia" w:ascii="Times New Roman" w:hAnsi="Times New Roman" w:cs="Times New Roman"/>
                <w:spacing w:val="4"/>
                <w:lang w:val="en-US" w:eastAsia="zh-CN"/>
              </w:rPr>
              <w:t>半年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pacing w:val="4"/>
                <w:lang w:val="en-US" w:eastAsia="zh-CN"/>
              </w:rPr>
              <w:t>10</w:t>
            </w:r>
          </w:p>
        </w:tc>
        <w:tc>
          <w:tcPr>
            <w:tcW w:w="1254" w:type="dxa"/>
            <w:vMerge w:val="continue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</w:rPr>
            </w:pPr>
          </w:p>
        </w:tc>
        <w:tc>
          <w:tcPr>
            <w:tcW w:w="1389" w:type="dxa"/>
            <w:vMerge w:val="continue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</w:rPr>
            </w:pPr>
            <w:r>
              <w:rPr>
                <w:rFonts w:hint="eastAsia" w:ascii="Times New Roman" w:hAnsi="Times New Roman" w:eastAsia="宋体"/>
                <w:color w:val="000000"/>
                <w:spacing w:val="0"/>
                <w:sz w:val="21"/>
                <w:szCs w:val="21"/>
              </w:rPr>
              <w:t>SS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</w:rPr>
            </w:pPr>
            <w:r>
              <w:rPr>
                <w:rFonts w:hint="default" w:ascii="Times New Roman" w:hAnsi="Times New Roman" w:cs="Times New Roman"/>
                <w:spacing w:val="4"/>
                <w:lang w:val="en-US" w:eastAsia="zh-CN"/>
              </w:rPr>
              <w:t>委托监测</w:t>
            </w:r>
          </w:p>
        </w:tc>
        <w:tc>
          <w:tcPr>
            <w:tcW w:w="5991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</w:rPr>
            </w:pPr>
            <w:r>
              <w:rPr>
                <w:rFonts w:hint="eastAsia" w:ascii="Times New Roman" w:hAnsi="Times New Roman" w:cs="Times New Roman"/>
                <w:spacing w:val="4"/>
                <w:lang w:eastAsia="zh-CN"/>
              </w:rPr>
              <w:t>《</w:t>
            </w:r>
            <w:r>
              <w:rPr>
                <w:rFonts w:hint="default" w:ascii="Times New Roman" w:hAnsi="Times New Roman" w:cs="Times New Roman"/>
                <w:spacing w:val="4"/>
              </w:rPr>
              <w:t>水质 悬浮物的测定 重量法</w:t>
            </w:r>
            <w:r>
              <w:rPr>
                <w:rFonts w:hint="eastAsia" w:ascii="Times New Roman" w:hAnsi="Times New Roman" w:cs="Times New Roman"/>
                <w:spacing w:val="4"/>
                <w:lang w:eastAsia="zh-CN"/>
              </w:rPr>
              <w:t>》（GB 11901-89）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瞬时采样</w:t>
            </w:r>
            <w:r>
              <w:rPr>
                <w:rFonts w:hint="eastAsia" w:ascii="Times New Roman" w:hAnsi="Times New Roman" w:cs="Times New Roman"/>
                <w:spacing w:val="4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pacing w:val="4"/>
              </w:rPr>
              <w:t>至少3个瞬时样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</w:rPr>
              <w:t>1次/</w:t>
            </w:r>
            <w:r>
              <w:rPr>
                <w:rFonts w:hint="eastAsia" w:ascii="Times New Roman" w:hAnsi="Times New Roman" w:cs="Times New Roman"/>
                <w:spacing w:val="4"/>
                <w:lang w:val="en-US" w:eastAsia="zh-CN"/>
              </w:rPr>
              <w:t>半年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4"/>
                <w:lang w:val="en-US" w:eastAsia="zh-CN"/>
              </w:rPr>
              <w:t>11</w:t>
            </w:r>
          </w:p>
        </w:tc>
        <w:tc>
          <w:tcPr>
            <w:tcW w:w="1254" w:type="dxa"/>
            <w:vMerge w:val="continue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</w:rPr>
            </w:pPr>
          </w:p>
        </w:tc>
        <w:tc>
          <w:tcPr>
            <w:tcW w:w="1389" w:type="dxa"/>
            <w:vMerge w:val="continue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spacing w:val="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4"/>
                <w:lang w:val="en-US" w:eastAsia="zh-CN"/>
              </w:rPr>
              <w:t>动植物油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</w:rPr>
            </w:pPr>
            <w:r>
              <w:rPr>
                <w:rFonts w:hint="default" w:ascii="Times New Roman" w:hAnsi="Times New Roman" w:cs="Times New Roman"/>
                <w:spacing w:val="4"/>
                <w:lang w:val="en-US" w:eastAsia="zh-CN"/>
              </w:rPr>
              <w:t>委托监测</w:t>
            </w:r>
          </w:p>
        </w:tc>
        <w:tc>
          <w:tcPr>
            <w:tcW w:w="5991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eastAsia" w:ascii="Times New Roman" w:hAnsi="Times New Roman" w:cs="Times New Roman"/>
                <w:spacing w:val="4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4"/>
                <w:lang w:eastAsia="zh-CN"/>
              </w:rPr>
              <w:t>《</w:t>
            </w:r>
            <w:r>
              <w:rPr>
                <w:rFonts w:hint="default" w:ascii="Times New Roman" w:hAnsi="Times New Roman" w:cs="Times New Roman"/>
                <w:spacing w:val="4"/>
              </w:rPr>
              <w:t>水质 石油类和动植物油类的测定 红外分光光度法</w:t>
            </w:r>
            <w:r>
              <w:rPr>
                <w:rFonts w:hint="eastAsia" w:ascii="Times New Roman" w:hAnsi="Times New Roman" w:cs="Times New Roman"/>
                <w:spacing w:val="4"/>
                <w:lang w:eastAsia="zh-CN"/>
              </w:rPr>
              <w:t>》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</w:rPr>
            </w:pPr>
            <w:r>
              <w:rPr>
                <w:rFonts w:hint="eastAsia" w:ascii="Times New Roman" w:hAnsi="Times New Roman" w:cs="Times New Roman"/>
                <w:spacing w:val="4"/>
                <w:lang w:eastAsia="zh-CN"/>
              </w:rPr>
              <w:t>（HJ 637-2018）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</w:rPr>
            </w:pPr>
            <w:r>
              <w:rPr>
                <w:rFonts w:hint="eastAsia" w:ascii="Times New Roman" w:hAnsi="Times New Roman" w:cs="Times New Roman"/>
                <w:spacing w:val="4"/>
                <w:lang w:val="en-US" w:eastAsia="zh-CN"/>
              </w:rPr>
              <w:t>混合</w:t>
            </w:r>
            <w:r>
              <w:rPr>
                <w:rFonts w:hint="default" w:ascii="Times New Roman" w:hAnsi="Times New Roman" w:cs="Times New Roman"/>
                <w:spacing w:val="4"/>
              </w:rPr>
              <w:t>采样</w:t>
            </w:r>
            <w:r>
              <w:rPr>
                <w:rFonts w:hint="eastAsia" w:ascii="Times New Roman" w:hAnsi="Times New Roman" w:cs="Times New Roman"/>
                <w:spacing w:val="4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pacing w:val="4"/>
              </w:rPr>
              <w:t>至少3个</w:t>
            </w:r>
            <w:r>
              <w:rPr>
                <w:rFonts w:hint="eastAsia" w:ascii="Times New Roman" w:hAnsi="Times New Roman" w:cs="Times New Roman"/>
                <w:spacing w:val="4"/>
                <w:lang w:val="en-US" w:eastAsia="zh-CN"/>
              </w:rPr>
              <w:t>混合</w:t>
            </w:r>
            <w:r>
              <w:rPr>
                <w:rFonts w:hint="default" w:ascii="Times New Roman" w:hAnsi="Times New Roman" w:cs="Times New Roman"/>
                <w:spacing w:val="4"/>
              </w:rPr>
              <w:t>样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</w:rPr>
              <w:t>1次/</w:t>
            </w:r>
            <w:r>
              <w:rPr>
                <w:rFonts w:hint="eastAsia" w:ascii="Times New Roman" w:hAnsi="Times New Roman" w:cs="Times New Roman"/>
                <w:spacing w:val="4"/>
                <w:lang w:val="en-US" w:eastAsia="zh-CN"/>
              </w:rPr>
              <w:t>半年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4"/>
                <w:lang w:val="en-US" w:eastAsia="zh-CN"/>
              </w:rPr>
              <w:t>12</w:t>
            </w:r>
          </w:p>
        </w:tc>
        <w:tc>
          <w:tcPr>
            <w:tcW w:w="1254" w:type="dxa"/>
            <w:vMerge w:val="continue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</w:rPr>
            </w:pPr>
          </w:p>
        </w:tc>
        <w:tc>
          <w:tcPr>
            <w:tcW w:w="1389" w:type="dxa"/>
            <w:vMerge w:val="continue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eastAsia" w:ascii="Times New Roman" w:hAnsi="Times New Roman" w:cs="Times New Roman"/>
                <w:spacing w:val="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4"/>
                <w:lang w:val="en-US" w:eastAsia="zh-CN"/>
              </w:rPr>
              <w:t>NH</w:t>
            </w:r>
            <w:r>
              <w:rPr>
                <w:rFonts w:hint="eastAsia" w:ascii="Times New Roman" w:hAnsi="Times New Roman" w:cs="Times New Roman"/>
                <w:spacing w:val="4"/>
                <w:vertAlign w:val="subscript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pacing w:val="4"/>
                <w:lang w:val="en-US" w:eastAsia="zh-CN"/>
              </w:rPr>
              <w:t>-N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</w:rPr>
            </w:pPr>
            <w:r>
              <w:rPr>
                <w:rFonts w:hint="eastAsia" w:ascii="Times New Roman" w:hAnsi="Times New Roman" w:cs="Times New Roman"/>
                <w:spacing w:val="4"/>
                <w:lang w:val="en-US" w:eastAsia="zh-CN"/>
              </w:rPr>
              <w:t>自动监测</w:t>
            </w:r>
          </w:p>
        </w:tc>
        <w:tc>
          <w:tcPr>
            <w:tcW w:w="5991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eastAsia" w:ascii="Times New Roman" w:hAnsi="Times New Roman" w:cs="Times New Roman"/>
                <w:spacing w:val="4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4"/>
                <w:lang w:eastAsia="zh-CN"/>
              </w:rPr>
              <w:t>《</w:t>
            </w:r>
            <w:r>
              <w:rPr>
                <w:rFonts w:hint="default" w:ascii="Times New Roman" w:hAnsi="Times New Roman" w:cs="Times New Roman"/>
                <w:spacing w:val="4"/>
              </w:rPr>
              <w:t>水质 氨氮的测定 纳氏试剂分光光度法</w:t>
            </w:r>
            <w:r>
              <w:rPr>
                <w:rFonts w:hint="eastAsia" w:ascii="Times New Roman" w:hAnsi="Times New Roman" w:cs="Times New Roman"/>
                <w:spacing w:val="4"/>
                <w:lang w:eastAsia="zh-CN"/>
              </w:rPr>
              <w:t>》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</w:rPr>
            </w:pPr>
            <w:r>
              <w:rPr>
                <w:rFonts w:hint="eastAsia" w:ascii="Times New Roman" w:hAnsi="Times New Roman" w:cs="Times New Roman"/>
                <w:spacing w:val="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4"/>
              </w:rPr>
              <w:t>HJ 535-2009</w:t>
            </w:r>
            <w:r>
              <w:rPr>
                <w:rFonts w:hint="eastAsia" w:ascii="Times New Roman" w:hAnsi="Times New Roman" w:cs="Times New Roman"/>
                <w:spacing w:val="4"/>
                <w:lang w:eastAsia="zh-CN"/>
              </w:rPr>
              <w:t>）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4"/>
                <w:lang w:val="en-US" w:eastAsia="zh-CN"/>
              </w:rPr>
              <w:t>自动监测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4"/>
                <w:lang w:val="en-US" w:eastAsia="zh-CN"/>
              </w:rPr>
              <w:t>13</w:t>
            </w:r>
          </w:p>
        </w:tc>
        <w:tc>
          <w:tcPr>
            <w:tcW w:w="1254" w:type="dxa"/>
            <w:vMerge w:val="continue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</w:rPr>
            </w:pPr>
          </w:p>
        </w:tc>
        <w:tc>
          <w:tcPr>
            <w:tcW w:w="1389" w:type="dxa"/>
            <w:vMerge w:val="continue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4"/>
                <w:lang w:val="en-US" w:eastAsia="zh-CN"/>
              </w:rPr>
              <w:t>大肠菌群数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eastAsia" w:ascii="Times New Roman" w:hAnsi="Times New Roman" w:cs="Times New Roman"/>
                <w:spacing w:val="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</w:rPr>
              <w:t>委托监测</w:t>
            </w:r>
          </w:p>
        </w:tc>
        <w:tc>
          <w:tcPr>
            <w:tcW w:w="5991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eastAsia" w:ascii="Times New Roman" w:hAnsi="Times New Roman" w:cs="Times New Roman"/>
                <w:spacing w:val="4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4"/>
                <w:lang w:eastAsia="zh-CN"/>
              </w:rPr>
              <w:t>《肉类加工工业水污染物排放标准》(GB 13457-1992)中规定的发酵法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瞬时采样</w:t>
            </w:r>
            <w:r>
              <w:rPr>
                <w:rFonts w:hint="eastAsia" w:ascii="Times New Roman" w:hAnsi="Times New Roman" w:cs="Times New Roman"/>
                <w:spacing w:val="4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pacing w:val="4"/>
              </w:rPr>
              <w:t>至少3个瞬时样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eastAsia" w:ascii="Times New Roman" w:hAnsi="Times New Roman" w:cs="Times New Roman"/>
                <w:spacing w:val="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</w:rPr>
              <w:t>1次/</w:t>
            </w:r>
            <w:r>
              <w:rPr>
                <w:rFonts w:hint="eastAsia" w:ascii="Times New Roman" w:hAnsi="Times New Roman" w:cs="Times New Roman"/>
                <w:spacing w:val="4"/>
                <w:lang w:val="en-US" w:eastAsia="zh-CN"/>
              </w:rPr>
              <w:t>半年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4"/>
                <w:lang w:val="en-US" w:eastAsia="zh-CN"/>
              </w:rPr>
              <w:t>14</w:t>
            </w:r>
          </w:p>
        </w:tc>
        <w:tc>
          <w:tcPr>
            <w:tcW w:w="1254" w:type="dxa"/>
            <w:vMerge w:val="continue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</w:rPr>
            </w:pPr>
          </w:p>
        </w:tc>
        <w:tc>
          <w:tcPr>
            <w:tcW w:w="1389" w:type="dxa"/>
            <w:vMerge w:val="continue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4"/>
                <w:lang w:val="en-US" w:eastAsia="zh-CN"/>
              </w:rPr>
              <w:t>总氮（以N记）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4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</w:rPr>
              <w:t>委托监测</w:t>
            </w:r>
          </w:p>
        </w:tc>
        <w:tc>
          <w:tcPr>
            <w:tcW w:w="5991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eastAsia" w:ascii="Times New Roman" w:hAnsi="Times New Roman" w:cs="Times New Roman"/>
                <w:spacing w:val="4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4"/>
                <w:lang w:eastAsia="zh-CN"/>
              </w:rPr>
              <w:t>《水质 氨氮的测定 纳氏试剂分光光度法》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eastAsia" w:ascii="Times New Roman" w:hAnsi="Times New Roman" w:cs="Times New Roman"/>
                <w:spacing w:val="4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4"/>
                <w:lang w:eastAsia="zh-CN"/>
              </w:rPr>
              <w:t>（HJ 535-2009）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cs="Times New Roman"/>
                <w:spacing w:val="4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瞬时采样</w:t>
            </w:r>
            <w:r>
              <w:rPr>
                <w:rFonts w:hint="eastAsia" w:ascii="Times New Roman" w:hAnsi="Times New Roman" w:cs="Times New Roman"/>
                <w:spacing w:val="4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pacing w:val="4"/>
              </w:rPr>
              <w:t>至少3个瞬时样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4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</w:rPr>
              <w:t>1次/</w:t>
            </w:r>
            <w:r>
              <w:rPr>
                <w:rFonts w:hint="eastAsia" w:ascii="Times New Roman" w:hAnsi="Times New Roman" w:cs="Times New Roman"/>
                <w:spacing w:val="4"/>
                <w:lang w:val="en-US" w:eastAsia="zh-CN"/>
              </w:rPr>
              <w:t>半年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4"/>
                <w:lang w:val="en-US" w:eastAsia="zh-CN"/>
              </w:rPr>
              <w:t>15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4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</w:rPr>
              <w:t>噪声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4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</w:rPr>
              <w:t>厂界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spacing w:val="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</w:rPr>
              <w:t>厂界噪声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4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</w:rPr>
              <w:t>委托监测</w:t>
            </w:r>
          </w:p>
        </w:tc>
        <w:tc>
          <w:tcPr>
            <w:tcW w:w="5991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4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</w:rPr>
              <w:t>工业企业厂界环境噪声排放标准GB 12348-2008及环境噪声监测技术规范噪声测量值修正HJ706-2014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4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</w:rPr>
              <w:t>连续采样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4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</w:rPr>
              <w:t>1次/</w:t>
            </w:r>
            <w:r>
              <w:rPr>
                <w:rFonts w:hint="eastAsia" w:ascii="Times New Roman" w:hAnsi="Times New Roman" w:cs="Times New Roman"/>
                <w:spacing w:val="4"/>
                <w:lang w:val="en-US" w:eastAsia="zh-CN"/>
              </w:rPr>
              <w:t>每季度</w:t>
            </w:r>
          </w:p>
        </w:tc>
      </w:tr>
    </w:tbl>
    <w:p>
      <w:pPr>
        <w:pStyle w:val="2"/>
        <w:spacing w:before="186" w:line="221" w:lineRule="auto"/>
        <w:jc w:val="both"/>
        <w:outlineLvl w:val="0"/>
        <w:rPr>
          <w:rFonts w:hint="default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kinsoku w:val="0"/>
        <w:autoSpaceDE w:val="0"/>
        <w:autoSpaceDN w:val="0"/>
        <w:adjustRightInd w:val="0"/>
        <w:snapToGrid w:val="0"/>
        <w:spacing w:before="46" w:line="360" w:lineRule="auto"/>
        <w:ind w:left="3"/>
        <w:jc w:val="left"/>
        <w:textAlignment w:val="baseline"/>
        <w:outlineLvl w:val="0"/>
        <w:rPr>
          <w:rFonts w:ascii="宋体" w:hAnsi="宋体" w:eastAsia="宋体" w:cs="宋体"/>
          <w:snapToGrid w:val="0"/>
          <w:color w:val="000000"/>
          <w:kern w:val="0"/>
          <w:sz w:val="23"/>
          <w:szCs w:val="23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4"/>
          <w:kern w:val="0"/>
          <w:sz w:val="23"/>
          <w:szCs w:val="23"/>
          <w:lang w:val="en-US" w:eastAsia="en-US" w:bidi="ar-SA"/>
        </w:rPr>
        <w:t>二、监测质量保证与质量控制要求</w:t>
      </w:r>
    </w:p>
    <w:p>
      <w:pPr>
        <w:kinsoku w:val="0"/>
        <w:autoSpaceDE w:val="0"/>
        <w:autoSpaceDN w:val="0"/>
        <w:adjustRightInd w:val="0"/>
        <w:snapToGrid w:val="0"/>
        <w:spacing w:before="2" w:line="360" w:lineRule="auto"/>
        <w:ind w:firstLine="492" w:firstLineChars="20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3"/>
          <w:szCs w:val="23"/>
          <w:lang w:val="en-US" w:eastAsia="en-US" w:bidi="ar-SA"/>
        </w:rPr>
      </w:pPr>
      <w:r>
        <w:rPr>
          <w:rFonts w:hint="default" w:ascii="Times New Roman" w:hAnsi="Times New Roman" w:eastAsia="宋体" w:cs="Times New Roman"/>
          <w:snapToGrid w:val="0"/>
          <w:color w:val="000000"/>
          <w:spacing w:val="3"/>
          <w:kern w:val="0"/>
          <w:sz w:val="24"/>
          <w:szCs w:val="24"/>
          <w:lang w:val="en-US" w:eastAsia="en-US" w:bidi="ar-SA"/>
        </w:rPr>
        <w:t>应符合HJ819、HJ/373中相关规定，建立自行监测质量保证与质量控制体系，包括监测机构、人员、仪器、监测活动质量控制和质量保证等，使用标准物质、空白试验、 平行样测定、加标回收率测定等质控方法。手工监测时，生产负荷不低于本次监测与上一次监测周期内的平均生产负荷</w:t>
      </w:r>
      <w:r>
        <w:rPr>
          <w:rFonts w:hint="eastAsia" w:ascii="Times New Roman" w:hAnsi="Times New Roman" w:eastAsia="宋体" w:cs="Times New Roman"/>
          <w:snapToGrid w:val="0"/>
          <w:color w:val="000000"/>
          <w:spacing w:val="3"/>
          <w:kern w:val="0"/>
          <w:sz w:val="24"/>
          <w:szCs w:val="24"/>
          <w:lang w:val="en-US" w:eastAsia="zh-CN" w:bidi="ar-SA"/>
        </w:rPr>
        <w:t>；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3"/>
          <w:kern w:val="0"/>
          <w:sz w:val="24"/>
          <w:szCs w:val="24"/>
          <w:lang w:val="en-US" w:eastAsia="en-US" w:bidi="ar-SA"/>
        </w:rPr>
        <w:t>梳理全过程监测质控要求，建设自行监测质量保证与质量控制体系。委托第三方检测机构开展自行监测的，不用建立监测质量体系，但应对其资质进行确认。</w:t>
      </w:r>
    </w:p>
    <w:p>
      <w:pPr>
        <w:kinsoku w:val="0"/>
        <w:autoSpaceDE w:val="0"/>
        <w:autoSpaceDN w:val="0"/>
        <w:adjustRightInd w:val="0"/>
        <w:snapToGrid w:val="0"/>
        <w:spacing w:before="48" w:line="360" w:lineRule="auto"/>
        <w:ind w:left="3"/>
        <w:jc w:val="left"/>
        <w:textAlignment w:val="baseline"/>
        <w:outlineLvl w:val="0"/>
        <w:rPr>
          <w:rFonts w:ascii="宋体" w:hAnsi="宋体" w:eastAsia="宋体" w:cs="宋体"/>
          <w:snapToGrid w:val="0"/>
          <w:color w:val="000000"/>
          <w:kern w:val="0"/>
          <w:sz w:val="23"/>
          <w:szCs w:val="23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3"/>
          <w:kern w:val="0"/>
          <w:sz w:val="23"/>
          <w:szCs w:val="23"/>
          <w:lang w:val="en-US" w:eastAsia="en-US" w:bidi="ar-SA"/>
        </w:rPr>
        <w:t>三、监测数据记录、整理、存档要求</w:t>
      </w:r>
    </w:p>
    <w:p>
      <w:pPr>
        <w:kinsoku w:val="0"/>
        <w:autoSpaceDE w:val="0"/>
        <w:autoSpaceDN w:val="0"/>
        <w:adjustRightInd w:val="0"/>
        <w:snapToGrid w:val="0"/>
        <w:spacing w:before="2" w:line="360" w:lineRule="auto"/>
        <w:ind w:firstLine="492" w:firstLineChars="200"/>
        <w:jc w:val="left"/>
        <w:textAlignment w:val="baseline"/>
        <w:rPr>
          <w:rFonts w:hint="default" w:ascii="Times New Roman" w:hAnsi="Times New Roman" w:eastAsia="宋体" w:cs="Times New Roman"/>
          <w:snapToGrid w:val="0"/>
          <w:color w:val="000000"/>
          <w:spacing w:val="3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napToGrid w:val="0"/>
          <w:color w:val="000000"/>
          <w:spacing w:val="3"/>
          <w:kern w:val="0"/>
          <w:sz w:val="24"/>
          <w:szCs w:val="24"/>
          <w:lang w:val="en-US" w:eastAsia="en-US" w:bidi="ar-SA"/>
        </w:rPr>
        <w:t>监测期间手工监测的记录和自动检测运维记录应按照HJ819执行。应同步记录监测间的生产工况。建立环境管理台账记录制度，落实环境管理台账记录的责任部门和责任人，明确工作职责，包括台账的记录、整理、维护和管理等，并对环境管理台账的真实性、完整性规范性负责。一般按日或按批次进行记录。异常情况按次记录。环境管理台账应按照电子台账及纸质台账两种记录形式同步管理。纸质台账存放于保护袋、卷夹或保护盒等保存介质中；由专人签字、定点保存；应采取防光、防热、防潮、防细菌及防污染等措施；如有破损应及时更换，并保存被查；保存时间原则上不低于5年。电子台账应存于电子储存介质中，并进行数据备份；可在排污许可管理信息平台填报并保存；由专人定期维护管理，保存时间原则上不低于5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4</w:t>
    </w:r>
    <w:r>
      <w:rPr>
        <w:rStyle w:val="7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33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  <w:rPr>
      <w:rFonts w:cs="Times New Roman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2026-02-03T06:58:25Z</dcterms:created>
  <dc:creator>xx</dc:creator>
  <cp:lastModifiedBy>x</cp:lastModifiedBy>
  <dcterms:modified xsi:type="dcterms:W3CDTF">2026-02-03T06:58:42Z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